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harts/colors16.xml" ContentType="application/vnd.ms-office.chartcolorstyle+xml"/>
  <Override PartName="/word/charts/chart17.xml" ContentType="application/vnd.openxmlformats-officedocument.drawingml.chart+xml"/>
  <Override PartName="/word/charts/chart16.xml" ContentType="application/vnd.openxmlformats-officedocument.drawingml.chart+xml"/>
  <Override PartName="/word/charts/style16.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style17.xml" ContentType="application/vnd.ms-office.chartstyle+xml"/>
  <Override PartName="/word/charts/colors15.xml" ContentType="application/vnd.ms-office.chartcolorstyle+xml"/>
  <Override PartName="/word/charts/style15.xml" ContentType="application/vnd.ms-office.chart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olors18.xml" ContentType="application/vnd.ms-office.chartcolorstyle+xml"/>
  <Override PartName="/word/charts/colors19.xml" ContentType="application/vnd.ms-office.chartcolorstyle+xml"/>
  <Override PartName="/word/charts/style19.xml" ContentType="application/vnd.ms-office.chartstyle+xml"/>
  <Override PartName="/word/charts/colors12.xml" ContentType="application/vnd.ms-office.chartcolorstyle+xml"/>
  <Override PartName="/word/theme/theme1.xml" ContentType="application/vnd.openxmlformats-officedocument.theme+xml"/>
  <Override PartName="/word/charts/chart19.xml" ContentType="application/vnd.openxmlformats-officedocument.drawingml.chart+xml"/>
  <Override PartName="/word/charts/chart12.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style12.xml" ContentType="application/vnd.ms-office.chartstyle+xml"/>
  <Override PartName="/word/charts/style5.xml" ContentType="application/vnd.ms-office.chartstyle+xml"/>
  <Override PartName="/word/charts/chart6.xml" ContentType="application/vnd.openxmlformats-officedocument.drawingml.chart+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olors5.xml" ContentType="application/vnd.ms-office.chartcolorstyle+xml"/>
  <Override PartName="/word/charts/colors9.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9.xml" ContentType="application/vnd.ms-office.chartstyle+xml"/>
  <Override PartName="/word/charts/style7.xml" ContentType="application/vnd.ms-office.chartstyle+xml"/>
  <Override PartName="/word/charts/chart8.xml" ContentType="application/vnd.openxmlformats-officedocument.drawingml.chart+xml"/>
  <Override PartName="/word/charts/colors7.xml" ContentType="application/vnd.ms-office.chartcolorstyle+xml"/>
  <Override PartName="/word/charts/colors8.xml" ContentType="application/vnd.ms-office.chartcolorstyle+xml"/>
  <Override PartName="/word/charts/style8.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AB" w:rsidRDefault="006F4BAB" w:rsidP="006F4BAB">
      <w:r>
        <w:rPr>
          <w:noProof/>
        </w:rPr>
        <w:drawing>
          <wp:inline distT="0" distB="0" distL="0" distR="0">
            <wp:extent cx="5801710" cy="503584"/>
            <wp:effectExtent l="0" t="0" r="8890" b="0"/>
            <wp:docPr id="25" name="Picture 25" descr="C:\Users\ebendewa\Desktop\deed-logo-blue-gree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ndewa\Desktop\deed-logo-blue-gree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9521" cy="545926"/>
                    </a:xfrm>
                    <a:prstGeom prst="rect">
                      <a:avLst/>
                    </a:prstGeom>
                    <a:noFill/>
                    <a:ln>
                      <a:noFill/>
                    </a:ln>
                  </pic:spPr>
                </pic:pic>
              </a:graphicData>
            </a:graphic>
          </wp:inline>
        </w:drawing>
      </w:r>
    </w:p>
    <w:p w:rsidR="00B161A3" w:rsidRPr="00B161A3" w:rsidRDefault="00B161A3" w:rsidP="004E114C">
      <w:pPr>
        <w:pStyle w:val="Title"/>
        <w:rPr>
          <w:sz w:val="16"/>
          <w:szCs w:val="16"/>
        </w:rPr>
      </w:pPr>
    </w:p>
    <w:p w:rsidR="00A75660" w:rsidRDefault="00D85F6C" w:rsidP="004E114C">
      <w:pPr>
        <w:pStyle w:val="Title"/>
      </w:pPr>
      <w:r>
        <w:t>Results from the Workforce Diversity Survey</w:t>
      </w:r>
    </w:p>
    <w:p w:rsidR="004E7CD0" w:rsidRDefault="004E7CD0" w:rsidP="00265EA2">
      <w:pPr>
        <w:pStyle w:val="Subtitle"/>
        <w:spacing w:after="0" w:line="240" w:lineRule="auto"/>
      </w:pPr>
      <w:r>
        <w:t>Office</w:t>
      </w:r>
      <w:r w:rsidR="006432AF">
        <w:t xml:space="preserve"> of Policy, Department of Employment and Economic Development</w:t>
      </w:r>
      <w:r w:rsidR="000A0C1C">
        <w:t xml:space="preserve"> (DEED)</w:t>
      </w:r>
    </w:p>
    <w:p w:rsidR="00265EA2" w:rsidRPr="00265EA2" w:rsidRDefault="00265EA2" w:rsidP="00265EA2">
      <w:pPr>
        <w:pStyle w:val="Subtitle"/>
        <w:spacing w:after="0" w:line="240" w:lineRule="auto"/>
      </w:pPr>
      <w:r>
        <w:t>April 2017</w:t>
      </w:r>
    </w:p>
    <w:p w:rsidR="00FD65BF" w:rsidRPr="002A247A" w:rsidRDefault="00FD65BF" w:rsidP="002A247A">
      <w:pPr>
        <w:pStyle w:val="Heading1"/>
      </w:pPr>
      <w:r w:rsidRPr="002A247A">
        <w:t>Executive Summary</w:t>
      </w:r>
    </w:p>
    <w:p w:rsidR="00FD65BF" w:rsidRDefault="00FD65BF" w:rsidP="00FD65BF">
      <w:r>
        <w:t>The results presented here offer key insights about the current state of workforce diversity in Minnesota, including:</w:t>
      </w:r>
    </w:p>
    <w:p w:rsidR="00FD65BF" w:rsidRPr="00D808FC" w:rsidRDefault="00FD65BF" w:rsidP="00FD65BF">
      <w:pPr>
        <w:pStyle w:val="ListParagraph"/>
        <w:numPr>
          <w:ilvl w:val="0"/>
          <w:numId w:val="3"/>
        </w:numPr>
        <w:rPr>
          <w:b/>
        </w:rPr>
      </w:pPr>
      <w:r w:rsidRPr="00D808FC">
        <w:rPr>
          <w:b/>
        </w:rPr>
        <w:t>To Minnesota’s employers, race is an important component of diversity—but not the only component of diversity.</w:t>
      </w:r>
    </w:p>
    <w:p w:rsidR="00FD65BF" w:rsidRDefault="00FD65BF" w:rsidP="00FD65BF">
      <w:pPr>
        <w:pStyle w:val="ListParagraph"/>
        <w:numPr>
          <w:ilvl w:val="1"/>
          <w:numId w:val="3"/>
        </w:numPr>
      </w:pPr>
      <w:r>
        <w:t>The vast majority</w:t>
      </w:r>
      <w:r w:rsidRPr="000758F4">
        <w:t xml:space="preserve"> of businesses define diversity along three or more characteristics</w:t>
      </w:r>
      <w:r>
        <w:t>—most often race/ethnicity, gender, and age.</w:t>
      </w:r>
    </w:p>
    <w:p w:rsidR="00FD65BF" w:rsidRDefault="00FD65BF" w:rsidP="00FD65BF">
      <w:pPr>
        <w:pStyle w:val="ListParagraph"/>
        <w:numPr>
          <w:ilvl w:val="1"/>
          <w:numId w:val="3"/>
        </w:numPr>
      </w:pPr>
      <w:r>
        <w:t>Almost half of employers whose employees all identify as non-Hispanic</w:t>
      </w:r>
      <w:r w:rsidR="0043683F">
        <w:t xml:space="preserve"> whites</w:t>
      </w:r>
      <w:r>
        <w:t xml:space="preserve"> still perceive themselves as diverse.</w:t>
      </w:r>
    </w:p>
    <w:p w:rsidR="00FD65BF" w:rsidRPr="000758F4" w:rsidRDefault="00FD65BF" w:rsidP="00FD65BF">
      <w:pPr>
        <w:pStyle w:val="ListParagraph"/>
        <w:ind w:left="1440"/>
      </w:pPr>
    </w:p>
    <w:p w:rsidR="00BF7E5D" w:rsidRDefault="00FD65BF" w:rsidP="00BF7E5D">
      <w:pPr>
        <w:pStyle w:val="ListParagraph"/>
        <w:numPr>
          <w:ilvl w:val="0"/>
          <w:numId w:val="3"/>
        </w:numPr>
      </w:pPr>
      <w:r>
        <w:t xml:space="preserve">Most employers in Minnesota are actively trying to increase the racial diversity of their workforce, and </w:t>
      </w:r>
      <w:r w:rsidRPr="00D808FC">
        <w:rPr>
          <w:b/>
        </w:rPr>
        <w:t>the vast majority have already implemented at least one best practice in</w:t>
      </w:r>
      <w:r w:rsidR="00D95D68">
        <w:rPr>
          <w:b/>
        </w:rPr>
        <w:t xml:space="preserve"> managing</w:t>
      </w:r>
      <w:r w:rsidRPr="00D808FC">
        <w:rPr>
          <w:b/>
        </w:rPr>
        <w:t xml:space="preserve"> </w:t>
      </w:r>
      <w:r w:rsidR="00D95D68">
        <w:rPr>
          <w:b/>
        </w:rPr>
        <w:t xml:space="preserve">workers of </w:t>
      </w:r>
      <w:r w:rsidRPr="00D808FC">
        <w:rPr>
          <w:b/>
        </w:rPr>
        <w:t>divers</w:t>
      </w:r>
      <w:r w:rsidR="00D95D68">
        <w:rPr>
          <w:b/>
        </w:rPr>
        <w:t>e backgrounds</w:t>
      </w:r>
      <w:r>
        <w:t>.</w:t>
      </w:r>
    </w:p>
    <w:p w:rsidR="00BF7E5D" w:rsidRPr="00BF7E5D" w:rsidRDefault="00BF7E5D" w:rsidP="00BF7E5D">
      <w:pPr>
        <w:pStyle w:val="ListParagraph"/>
      </w:pPr>
    </w:p>
    <w:p w:rsidR="00BF7E5D" w:rsidRPr="00D808FC" w:rsidRDefault="00BF7E5D" w:rsidP="00BF7E5D">
      <w:pPr>
        <w:pStyle w:val="ListParagraph"/>
        <w:numPr>
          <w:ilvl w:val="0"/>
          <w:numId w:val="3"/>
        </w:numPr>
        <w:rPr>
          <w:b/>
        </w:rPr>
      </w:pPr>
      <w:r>
        <w:rPr>
          <w:b/>
        </w:rPr>
        <w:t>Small firms in Minnesota are less likely</w:t>
      </w:r>
      <w:r w:rsidR="00417EA8">
        <w:rPr>
          <w:b/>
        </w:rPr>
        <w:t xml:space="preserve"> than large firms</w:t>
      </w:r>
      <w:r>
        <w:rPr>
          <w:b/>
        </w:rPr>
        <w:t xml:space="preserve"> to report actively trying to increase diversity and to subscribe to </w:t>
      </w:r>
      <w:r w:rsidR="00D95D68">
        <w:rPr>
          <w:b/>
        </w:rPr>
        <w:t>common</w:t>
      </w:r>
      <w:r>
        <w:rPr>
          <w:b/>
        </w:rPr>
        <w:t xml:space="preserve"> rationale</w:t>
      </w:r>
      <w:r w:rsidR="00D95D68">
        <w:rPr>
          <w:b/>
        </w:rPr>
        <w:t>s</w:t>
      </w:r>
      <w:r>
        <w:rPr>
          <w:b/>
        </w:rPr>
        <w:t xml:space="preserve"> </w:t>
      </w:r>
      <w:r w:rsidR="0043683F">
        <w:rPr>
          <w:b/>
        </w:rPr>
        <w:t xml:space="preserve">for </w:t>
      </w:r>
      <w:r w:rsidR="00D95D68">
        <w:rPr>
          <w:b/>
        </w:rPr>
        <w:t>promoting</w:t>
      </w:r>
      <w:r>
        <w:rPr>
          <w:b/>
        </w:rPr>
        <w:t xml:space="preserve"> diversity. </w:t>
      </w:r>
      <w:r>
        <w:t xml:space="preserve">Much of the attention around workforce diversity focuses on larger corporations, </w:t>
      </w:r>
      <w:r w:rsidR="00D95D68">
        <w:t>leaving</w:t>
      </w:r>
      <w:r>
        <w:t xml:space="preserve"> </w:t>
      </w:r>
      <w:r w:rsidR="00D95D68">
        <w:t>the small business</w:t>
      </w:r>
      <w:r>
        <w:t xml:space="preserve"> </w:t>
      </w:r>
      <w:r w:rsidR="00D95D68">
        <w:t xml:space="preserve">perspective </w:t>
      </w:r>
      <w:r>
        <w:t>out of the</w:t>
      </w:r>
      <w:r w:rsidR="00D95D68">
        <w:t xml:space="preserve"> diversity</w:t>
      </w:r>
      <w:r>
        <w:t xml:space="preserve"> conversation.</w:t>
      </w:r>
    </w:p>
    <w:p w:rsidR="00BF7E5D" w:rsidRPr="00BF7E5D" w:rsidRDefault="00BF7E5D" w:rsidP="00BF7E5D">
      <w:pPr>
        <w:pStyle w:val="ListParagraph"/>
        <w:rPr>
          <w:b/>
        </w:rPr>
      </w:pPr>
    </w:p>
    <w:p w:rsidR="008529FF" w:rsidRDefault="00FD65BF" w:rsidP="008529FF">
      <w:pPr>
        <w:pStyle w:val="ListParagraph"/>
        <w:numPr>
          <w:ilvl w:val="0"/>
          <w:numId w:val="3"/>
        </w:numPr>
        <w:rPr>
          <w:b/>
        </w:rPr>
      </w:pPr>
      <w:r>
        <w:t xml:space="preserve">Minnesota’s six regions provide employers with unique demographic backdrops that shape their perceptions of their own workforce diversity. </w:t>
      </w:r>
      <w:r w:rsidRPr="00D808FC">
        <w:rPr>
          <w:b/>
        </w:rPr>
        <w:t xml:space="preserve">Some strategies in </w:t>
      </w:r>
      <w:r w:rsidR="00D95D68">
        <w:rPr>
          <w:b/>
        </w:rPr>
        <w:t xml:space="preserve">managing </w:t>
      </w:r>
      <w:r w:rsidRPr="00D808FC">
        <w:rPr>
          <w:b/>
        </w:rPr>
        <w:t>diversity that make sense in the Twin Cities don’t translate to Greater Minnesota.</w:t>
      </w:r>
    </w:p>
    <w:p w:rsidR="008529FF" w:rsidRPr="008529FF" w:rsidRDefault="008529FF" w:rsidP="008529FF">
      <w:pPr>
        <w:pStyle w:val="ListParagraph"/>
        <w:rPr>
          <w:b/>
        </w:rPr>
      </w:pPr>
    </w:p>
    <w:p w:rsidR="008529FF" w:rsidRPr="00B161A3" w:rsidRDefault="004E4853" w:rsidP="008529FF">
      <w:pPr>
        <w:pStyle w:val="ListParagraph"/>
        <w:numPr>
          <w:ilvl w:val="0"/>
          <w:numId w:val="3"/>
        </w:numPr>
        <w:rPr>
          <w:b/>
        </w:rPr>
      </w:pPr>
      <w:r w:rsidRPr="008529FF">
        <w:rPr>
          <w:b/>
        </w:rPr>
        <w:t xml:space="preserve">Employers in the Education, Government, and Construction </w:t>
      </w:r>
      <w:r w:rsidR="008529FF" w:rsidRPr="008529FF">
        <w:rPr>
          <w:b/>
        </w:rPr>
        <w:t>sectors</w:t>
      </w:r>
      <w:r w:rsidRPr="008529FF">
        <w:rPr>
          <w:b/>
        </w:rPr>
        <w:t xml:space="preserve"> are among the least </w:t>
      </w:r>
      <w:r w:rsidR="00A00829">
        <w:rPr>
          <w:b/>
        </w:rPr>
        <w:t>racially diverse in Minnesota</w:t>
      </w:r>
      <w:r w:rsidR="008529FF" w:rsidRPr="008529FF">
        <w:rPr>
          <w:b/>
        </w:rPr>
        <w:t xml:space="preserve"> but are also the most likely to report actively trying to increase the racial diversity of their workforce. </w:t>
      </w:r>
      <w:r w:rsidR="008529FF">
        <w:t xml:space="preserve">Education </w:t>
      </w:r>
      <w:r w:rsidR="00D95D68">
        <w:t>employers have the highest rate</w:t>
      </w:r>
      <w:r w:rsidR="008529FF">
        <w:t xml:space="preserve"> of any sector of engaging in best practices around</w:t>
      </w:r>
      <w:r w:rsidR="00D95D68">
        <w:t xml:space="preserve"> managing</w:t>
      </w:r>
      <w:r w:rsidR="008529FF">
        <w:t xml:space="preserve"> diversity.</w:t>
      </w:r>
    </w:p>
    <w:p w:rsidR="00B161A3" w:rsidRPr="00B161A3" w:rsidRDefault="00B161A3" w:rsidP="00B161A3">
      <w:r w:rsidRPr="00B161A3">
        <w:t>After a brief project background, this report will discuss how employers define diversity, whether employers perceive their workforces to be diverse, whether employers are seeking to increase diversity, and how employers are managing the diversity of their workforces.</w:t>
      </w:r>
    </w:p>
    <w:p w:rsidR="003A1667" w:rsidRPr="002A247A" w:rsidRDefault="003A1667" w:rsidP="002A247A">
      <w:pPr>
        <w:pStyle w:val="Heading1"/>
      </w:pPr>
      <w:r w:rsidRPr="002A247A">
        <w:lastRenderedPageBreak/>
        <w:t>Project Background</w:t>
      </w:r>
    </w:p>
    <w:p w:rsidR="004E7CD0" w:rsidRPr="004E7CD0" w:rsidRDefault="004E7CD0" w:rsidP="004E7CD0">
      <w:r w:rsidRPr="004E7CD0">
        <w:t xml:space="preserve">According to the </w:t>
      </w:r>
      <w:r w:rsidRPr="00D808FC">
        <w:t>latest available projections</w:t>
      </w:r>
      <w:r w:rsidRPr="004E7CD0">
        <w:t xml:space="preserve"> from the Minnesot</w:t>
      </w:r>
      <w:r w:rsidR="00D808FC">
        <w:t xml:space="preserve">a State Demographic Center, Minnesota’s </w:t>
      </w:r>
      <w:r w:rsidRPr="004E7CD0">
        <w:t xml:space="preserve">nonwhite or </w:t>
      </w:r>
      <w:r w:rsidR="002253E8">
        <w:t>Hispanic</w:t>
      </w:r>
      <w:r w:rsidRPr="004E7CD0">
        <w:t xml:space="preserve"> population is expected to double between 2005 and 2035, reaching 25 percent of the total population.</w:t>
      </w:r>
      <w:r w:rsidR="00D808FC">
        <w:rPr>
          <w:rStyle w:val="FootnoteReference"/>
        </w:rPr>
        <w:footnoteReference w:id="1"/>
      </w:r>
      <w:r w:rsidRPr="004E7CD0">
        <w:t xml:space="preserve"> These population changes are not isolated to only certain areas of the state: each region is projected to become more racially and ethnically diverse over the coming decades than it is today.</w:t>
      </w:r>
    </w:p>
    <w:p w:rsidR="004E7CD0" w:rsidRPr="004E7CD0" w:rsidRDefault="002253E8" w:rsidP="004E7CD0">
      <w:r>
        <w:t>Critically</w:t>
      </w:r>
      <w:r w:rsidR="004E7CD0" w:rsidRPr="004E7CD0">
        <w:t xml:space="preserve">, </w:t>
      </w:r>
      <w:r>
        <w:t>t</w:t>
      </w:r>
      <w:r w:rsidRPr="004E7CD0">
        <w:t xml:space="preserve">he presence of racial employment </w:t>
      </w:r>
      <w:r>
        <w:t>disparities threatens to leave this</w:t>
      </w:r>
      <w:r w:rsidRPr="004E7CD0">
        <w:t xml:space="preserve"> growing part of </w:t>
      </w:r>
      <w:r w:rsidR="00FC1934">
        <w:t>the</w:t>
      </w:r>
      <w:r w:rsidRPr="004E7CD0">
        <w:t xml:space="preserve"> state </w:t>
      </w:r>
      <w:r w:rsidR="00FC1934">
        <w:t>behind</w:t>
      </w:r>
      <w:r w:rsidRPr="004E7CD0">
        <w:t>.</w:t>
      </w:r>
      <w:r>
        <w:t xml:space="preserve"> </w:t>
      </w:r>
      <w:r w:rsidR="004E7CD0" w:rsidRPr="004E7CD0">
        <w:t xml:space="preserve">The percentage of </w:t>
      </w:r>
      <w:r>
        <w:t>working age adults</w:t>
      </w:r>
      <w:r w:rsidR="00FC1934">
        <w:t xml:space="preserve"> in Minnesota</w:t>
      </w:r>
      <w:r w:rsidR="004E7CD0" w:rsidRPr="004E7CD0">
        <w:t xml:space="preserve"> who are unemployed or not in the labor force is 59% among Dakota, 48% among </w:t>
      </w:r>
      <w:proofErr w:type="spellStart"/>
      <w:r w:rsidR="004E7CD0" w:rsidRPr="004E7CD0">
        <w:t>Ojibwe</w:t>
      </w:r>
      <w:proofErr w:type="spellEnd"/>
      <w:r w:rsidR="004E7CD0" w:rsidRPr="004E7CD0">
        <w:t xml:space="preserve">, 45% among U.S.-born African-American, 40% among Somali, and 38% among Hmong populations. That’s compared to just 22% among the </w:t>
      </w:r>
      <w:r>
        <w:t>non-Hispanic w</w:t>
      </w:r>
      <w:r w:rsidR="004E7CD0" w:rsidRPr="004E7CD0">
        <w:t>hite population.</w:t>
      </w:r>
      <w:r w:rsidR="00D808FC">
        <w:rPr>
          <w:rStyle w:val="FootnoteReference"/>
        </w:rPr>
        <w:footnoteReference w:id="2"/>
      </w:r>
      <w:r w:rsidR="004E7CD0" w:rsidRPr="004E7CD0">
        <w:t xml:space="preserve"> </w:t>
      </w:r>
    </w:p>
    <w:p w:rsidR="004E7CD0" w:rsidRPr="004E7CD0" w:rsidRDefault="00EB220F" w:rsidP="004E7CD0">
      <w:r>
        <w:t>In</w:t>
      </w:r>
      <w:r w:rsidR="00265EA2">
        <w:t xml:space="preserve"> spring</w:t>
      </w:r>
      <w:r>
        <w:t xml:space="preserve"> 2016, </w:t>
      </w:r>
      <w:r w:rsidR="004E7CD0" w:rsidRPr="004E7CD0">
        <w:t xml:space="preserve">DEED conducted a first-of-its-kind survey of Minnesota employers to understand their current approach to workforce diversity. Questions ranged from how employers define diversity, to their perceptions of how diverse their current workforce is, to what best practices they have used to manage </w:t>
      </w:r>
      <w:r w:rsidR="002253E8">
        <w:t>workers of diverse backgrounds</w:t>
      </w:r>
      <w:r w:rsidR="004E7CD0" w:rsidRPr="004E7CD0">
        <w:t xml:space="preserve">. </w:t>
      </w:r>
      <w:r w:rsidR="00FC1934">
        <w:t>The survey included</w:t>
      </w:r>
      <w:r w:rsidR="004E7CD0" w:rsidRPr="004E7CD0">
        <w:t xml:space="preserve"> nearly 3,000 Minnesota employers—both large and small businesses—in every region and industry. </w:t>
      </w:r>
      <w:r w:rsidR="004E7CD0" w:rsidRPr="004E7CD0">
        <w:rPr>
          <w:b/>
        </w:rPr>
        <w:t>Over 1,000 responded, providing an unprecedented look at the business practices affecting Minnesota’s rapidly diversifying workforce.</w:t>
      </w:r>
      <w:r w:rsidR="004E7CD0" w:rsidRPr="004E7CD0">
        <w:t xml:space="preserve"> </w:t>
      </w:r>
    </w:p>
    <w:p w:rsidR="009C193C" w:rsidRDefault="004E7CD0">
      <w:r w:rsidRPr="004E7CD0">
        <w:t xml:space="preserve">This work is critical to helping us understand the employment outcomes of Minnesotans served in </w:t>
      </w:r>
      <w:r w:rsidR="002253E8">
        <w:t>public</w:t>
      </w:r>
      <w:r w:rsidRPr="004E7CD0">
        <w:t xml:space="preserve"> workforce training programs. On a daily basis, state and local partners seek to connect an increasingly diverse group of job seekers to sustainable career pathways.</w:t>
      </w:r>
      <w:r w:rsidR="002253E8">
        <w:t xml:space="preserve"> I</w:t>
      </w:r>
      <w:r w:rsidR="0053598A">
        <w:t>n 2016</w:t>
      </w:r>
      <w:r w:rsidR="002253E8">
        <w:t>,</w:t>
      </w:r>
      <w:r w:rsidR="0053598A">
        <w:t xml:space="preserve"> the state invested $8 million </w:t>
      </w:r>
      <w:r w:rsidR="006F4BAB">
        <w:t>in</w:t>
      </w:r>
      <w:r w:rsidR="0053598A">
        <w:t xml:space="preserve"> workforce programming </w:t>
      </w:r>
      <w:r w:rsidR="006F4BAB">
        <w:t>for</w:t>
      </w:r>
      <w:r w:rsidR="0053598A">
        <w:t xml:space="preserve"> underserved communities of color.</w:t>
      </w:r>
      <w:r w:rsidRPr="004E7CD0">
        <w:t xml:space="preserve"> </w:t>
      </w:r>
      <w:r w:rsidR="00FC1934">
        <w:t>These programs</w:t>
      </w:r>
      <w:r w:rsidRPr="004E7CD0">
        <w:t xml:space="preserve"> need to </w:t>
      </w:r>
      <w:r w:rsidR="00FC1934">
        <w:t>know whether</w:t>
      </w:r>
      <w:r w:rsidRPr="004E7CD0">
        <w:t xml:space="preserve"> Minnesota employers are ready to receive their talent. And </w:t>
      </w:r>
      <w:r w:rsidR="00FC1934">
        <w:t>this public workforce system</w:t>
      </w:r>
      <w:r w:rsidRPr="004E7CD0">
        <w:t xml:space="preserve"> need</w:t>
      </w:r>
      <w:r w:rsidR="00FC1934">
        <w:t>s</w:t>
      </w:r>
      <w:r w:rsidRPr="004E7CD0">
        <w:t xml:space="preserve"> to be ready to </w:t>
      </w:r>
      <w:r w:rsidR="00FC1934">
        <w:t>give</w:t>
      </w:r>
      <w:r w:rsidRPr="004E7CD0">
        <w:t xml:space="preserve"> small- and mid-size employers </w:t>
      </w:r>
      <w:r w:rsidR="00FC1934">
        <w:t xml:space="preserve">the </w:t>
      </w:r>
      <w:r w:rsidRPr="004E7CD0">
        <w:t>resources</w:t>
      </w:r>
      <w:r w:rsidR="00FC1934">
        <w:t xml:space="preserve"> they need to effectively employ staff from diverse backgrounds.</w:t>
      </w:r>
    </w:p>
    <w:p w:rsidR="00FD65BF" w:rsidRDefault="009C193C">
      <w:pPr>
        <w:rPr>
          <w:rFonts w:asciiTheme="majorHAnsi" w:eastAsiaTheme="majorEastAsia" w:hAnsiTheme="majorHAnsi" w:cstheme="majorBidi"/>
          <w:color w:val="00294B" w:themeColor="accent1" w:themeShade="BF"/>
          <w:sz w:val="32"/>
          <w:szCs w:val="32"/>
        </w:rPr>
      </w:pPr>
      <w:r>
        <w:t>These results have a margin of error of 5 percent with</w:t>
      </w:r>
      <w:r w:rsidR="00DA71C6">
        <w:t xml:space="preserve"> a</w:t>
      </w:r>
      <w:r w:rsidR="000C0E3E">
        <w:t xml:space="preserve"> </w:t>
      </w:r>
      <w:r>
        <w:t>95 percent confidence</w:t>
      </w:r>
      <w:r w:rsidR="000C0E3E">
        <w:t xml:space="preserve"> level</w:t>
      </w:r>
      <w:r>
        <w:t>.</w:t>
      </w:r>
      <w:r w:rsidR="000C0E3E">
        <w:t xml:space="preserve"> </w:t>
      </w:r>
      <w:r>
        <w:t xml:space="preserve">Full details of the methodology is available on </w:t>
      </w:r>
      <w:hyperlink r:id="rId9" w:history="1">
        <w:r w:rsidRPr="009C193C">
          <w:rPr>
            <w:rStyle w:val="Hyperlink"/>
          </w:rPr>
          <w:t>DEED’s website</w:t>
        </w:r>
      </w:hyperlink>
      <w:r>
        <w:t>.</w:t>
      </w:r>
      <w:r w:rsidR="00FD65BF">
        <w:br w:type="page"/>
      </w:r>
    </w:p>
    <w:p w:rsidR="006D196D" w:rsidRPr="002A247A" w:rsidRDefault="001577E1" w:rsidP="002A247A">
      <w:pPr>
        <w:pStyle w:val="Heading1"/>
      </w:pPr>
      <w:r w:rsidRPr="002A247A">
        <w:lastRenderedPageBreak/>
        <w:t>How do employers define workforce diversity?</w:t>
      </w:r>
    </w:p>
    <w:p w:rsidR="004B14EA" w:rsidRPr="004B14EA" w:rsidRDefault="004B14EA" w:rsidP="004B14EA">
      <w:r w:rsidRPr="00A2471F">
        <w:t>When Minnesota businesses talk about employee diversity for their organization</w:t>
      </w:r>
      <w:r w:rsidR="006F4BAB">
        <w:t>,</w:t>
      </w:r>
      <w:r w:rsidRPr="00A2471F">
        <w:t xml:space="preserve"> they most </w:t>
      </w:r>
      <w:r>
        <w:t>often</w:t>
      </w:r>
      <w:r w:rsidRPr="00A2471F">
        <w:t xml:space="preserve"> refer to differences in the </w:t>
      </w:r>
      <w:r w:rsidRPr="00446C84">
        <w:rPr>
          <w:b/>
        </w:rPr>
        <w:t>race, ethnicity, gender, age, national origin, and disability status</w:t>
      </w:r>
      <w:r w:rsidRPr="00A2471F">
        <w:t xml:space="preserve"> of their workers</w:t>
      </w:r>
      <w:r w:rsidR="00E868F3">
        <w:t xml:space="preserve"> (</w:t>
      </w:r>
      <w:r w:rsidR="00A96797">
        <w:t>Figure</w:t>
      </w:r>
      <w:r w:rsidR="00E868F3">
        <w:t xml:space="preserve"> 1)</w:t>
      </w:r>
      <w:r w:rsidRPr="00A2471F">
        <w:t>.</w:t>
      </w:r>
    </w:p>
    <w:p w:rsidR="000C7554" w:rsidRPr="009C193C" w:rsidRDefault="007C4978">
      <w:pPr>
        <w:rPr>
          <w:b/>
        </w:rPr>
      </w:pPr>
      <w:r w:rsidRPr="007C4978">
        <w:rPr>
          <w:b/>
        </w:rPr>
        <w:t>88 percent of businesses define diversity alon</w:t>
      </w:r>
      <w:r w:rsidR="00A86062">
        <w:rPr>
          <w:b/>
        </w:rPr>
        <w:t>g three or more characteristics</w:t>
      </w:r>
      <w:r w:rsidR="00807887">
        <w:rPr>
          <w:b/>
        </w:rPr>
        <w:t xml:space="preserve"> provided in the survey</w:t>
      </w:r>
      <w:r w:rsidR="00A86062" w:rsidRPr="00E868F3">
        <w:t>.</w:t>
      </w:r>
      <w:r w:rsidR="00A86062">
        <w:rPr>
          <w:b/>
        </w:rPr>
        <w:t xml:space="preserve"> </w:t>
      </w:r>
      <w:r w:rsidR="00A86062" w:rsidRPr="00415BEE">
        <w:t xml:space="preserve">The most common definition, selected by </w:t>
      </w:r>
      <w:r w:rsidR="00415BEE" w:rsidRPr="00415BEE">
        <w:t>eight</w:t>
      </w:r>
      <w:r w:rsidR="00A86062" w:rsidRPr="00415BEE">
        <w:t xml:space="preserve"> percent of respondents, includes all of the above factors. This is followed by all of the factors except for criminal background (at </w:t>
      </w:r>
      <w:r w:rsidR="00415BEE" w:rsidRPr="00415BEE">
        <w:t>five</w:t>
      </w:r>
      <w:r w:rsidR="00A86062" w:rsidRPr="00415BEE">
        <w:t xml:space="preserve"> percent) and age and race/ethnicity (also at </w:t>
      </w:r>
      <w:r w:rsidR="00415BEE" w:rsidRPr="00415BEE">
        <w:t>five</w:t>
      </w:r>
      <w:r w:rsidR="00A86062" w:rsidRPr="00415BEE">
        <w:t xml:space="preserve"> percent).</w:t>
      </w:r>
      <w:r w:rsidR="00415BEE" w:rsidRPr="00415BEE">
        <w:t xml:space="preserve"> Four percent selected race/ethnicity alone.</w:t>
      </w:r>
    </w:p>
    <w:p w:rsidR="006D706F" w:rsidRPr="006D706F" w:rsidRDefault="007A2294" w:rsidP="00B161A3">
      <w:r>
        <w:rPr>
          <w:b/>
          <w:noProof/>
        </w:rPr>
        <w:drawing>
          <wp:anchor distT="0" distB="0" distL="114300" distR="114300" simplePos="0" relativeHeight="251758592" behindDoc="0" locked="0" layoutInCell="1" allowOverlap="1">
            <wp:simplePos x="0" y="0"/>
            <wp:positionH relativeFrom="column">
              <wp:posOffset>4714875</wp:posOffset>
            </wp:positionH>
            <wp:positionV relativeFrom="paragraph">
              <wp:posOffset>551815</wp:posOffset>
            </wp:positionV>
            <wp:extent cx="3381375" cy="3838575"/>
            <wp:effectExtent l="0" t="0" r="9525" b="9525"/>
            <wp:wrapSquare wrapText="bothSides"/>
            <wp:docPr id="29" name="Picture 29" descr="S:\Groups\PPM\Employer Workforce Diversity\Employer Survey\Analysis\Q1Race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roups\PPM\Employer Workforce Diversity\Employer Survey\Analysis\Q1RaceMap.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3838575"/>
                    </a:xfrm>
                    <a:prstGeom prst="rect">
                      <a:avLst/>
                    </a:prstGeom>
                    <a:noFill/>
                    <a:ln>
                      <a:noFill/>
                    </a:ln>
                  </pic:spPr>
                </pic:pic>
              </a:graphicData>
            </a:graphic>
          </wp:anchor>
        </w:drawing>
      </w:r>
      <w:r w:rsidR="009C193C" w:rsidRPr="006D706F">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550583</wp:posOffset>
            </wp:positionV>
            <wp:extent cx="4284980" cy="3978275"/>
            <wp:effectExtent l="0" t="0" r="1270" b="3175"/>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D706F">
        <w:t xml:space="preserve">Employer definitions of diversity do vary significantly by region. </w:t>
      </w:r>
      <w:r w:rsidR="006D706F" w:rsidRPr="006D706F">
        <w:rPr>
          <w:b/>
        </w:rPr>
        <w:t>Employers in the Twin Cities and Central Minnesota are more likely than employers in Southwest Minnesota to include race/ethnicity in their d</w:t>
      </w:r>
      <w:r w:rsidR="002F7486">
        <w:rPr>
          <w:b/>
        </w:rPr>
        <w:t>efinition of diversity (</w:t>
      </w:r>
      <w:r w:rsidR="002F7486" w:rsidRPr="007A2294">
        <w:rPr>
          <w:b/>
        </w:rPr>
        <w:t>Figure 2</w:t>
      </w:r>
      <w:r w:rsidR="006D706F" w:rsidRPr="006D706F">
        <w:rPr>
          <w:b/>
        </w:rPr>
        <w:t>).</w:t>
      </w:r>
      <w:r w:rsidR="006D706F">
        <w:t xml:space="preserve"> </w:t>
      </w:r>
    </w:p>
    <w:p w:rsidR="0027058D" w:rsidRDefault="00B161A3" w:rsidP="006D706F">
      <w:r w:rsidRPr="00992E56">
        <w:rPr>
          <w:b/>
        </w:rPr>
        <w:lastRenderedPageBreak/>
        <w:t>Employer definitions of diversity are</w:t>
      </w:r>
      <w:r w:rsidR="00C9188F">
        <w:rPr>
          <w:b/>
        </w:rPr>
        <w:t xml:space="preserve"> also</w:t>
      </w:r>
      <w:r w:rsidRPr="00992E56">
        <w:rPr>
          <w:b/>
        </w:rPr>
        <w:t xml:space="preserve"> correlated with firm size: large employers </w:t>
      </w:r>
      <w:r w:rsidR="0027058D">
        <w:rPr>
          <w:b/>
        </w:rPr>
        <w:t xml:space="preserve">tend to </w:t>
      </w:r>
      <w:r w:rsidRPr="00992E56">
        <w:rPr>
          <w:b/>
        </w:rPr>
        <w:t>use a broader d</w:t>
      </w:r>
      <w:r w:rsidR="009B2B93">
        <w:rPr>
          <w:b/>
        </w:rPr>
        <w:t>efinition of div</w:t>
      </w:r>
      <w:r w:rsidR="002F7486">
        <w:rPr>
          <w:b/>
        </w:rPr>
        <w:t>ersity (Figure 3</w:t>
      </w:r>
      <w:r w:rsidRPr="00992E56">
        <w:rPr>
          <w:b/>
        </w:rPr>
        <w:t>).</w:t>
      </w:r>
      <w:r>
        <w:t xml:space="preserve"> </w:t>
      </w:r>
      <w:r w:rsidR="0027058D">
        <w:t>(There are roughly equal numbers of firms in each size category; large firms employ over half of all workers in the state, and small- and medium-sized firms employ about equal portions of the remainder.)</w:t>
      </w:r>
    </w:p>
    <w:p w:rsidR="006D706F" w:rsidRPr="00076EB4" w:rsidRDefault="0027058D" w:rsidP="006D706F">
      <w:r>
        <w:rPr>
          <w:noProof/>
        </w:rPr>
        <w:drawing>
          <wp:anchor distT="0" distB="0" distL="114300" distR="114300" simplePos="0" relativeHeight="251744256" behindDoc="0" locked="0" layoutInCell="1" allowOverlap="1">
            <wp:simplePos x="0" y="0"/>
            <wp:positionH relativeFrom="margin">
              <wp:align>right</wp:align>
            </wp:positionH>
            <wp:positionV relativeFrom="paragraph">
              <wp:posOffset>739140</wp:posOffset>
            </wp:positionV>
            <wp:extent cx="8229600" cy="4067175"/>
            <wp:effectExtent l="0" t="0" r="0" b="952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t>Differences are</w:t>
      </w:r>
      <w:r w:rsidR="00B161A3">
        <w:t xml:space="preserve"> most pronounced with national origin, disability, sexual orientation, religion, and veteran status, with large employers much more likely to include those in their d</w:t>
      </w:r>
      <w:r w:rsidR="006D706F">
        <w:t>efinition than small employers. The order of most common factors also differs by firm size: a</w:t>
      </w:r>
      <w:r w:rsidR="00B161A3">
        <w:t>mong small employers, age is the second most common factor respondents include in their definition of diversity, above gender and national origin.</w:t>
      </w:r>
      <w:r w:rsidR="006D706F" w:rsidRPr="006D706F">
        <w:t xml:space="preserve"> </w:t>
      </w:r>
    </w:p>
    <w:p w:rsidR="00B161A3" w:rsidRDefault="00B161A3" w:rsidP="00B161A3"/>
    <w:p w:rsidR="0027058D" w:rsidRDefault="0027058D">
      <w:pPr>
        <w:rPr>
          <w:b/>
        </w:rPr>
      </w:pPr>
      <w:r>
        <w:rPr>
          <w:b/>
        </w:rPr>
        <w:br w:type="page"/>
      </w:r>
    </w:p>
    <w:p w:rsidR="00B161A3" w:rsidRPr="004A3E3D" w:rsidRDefault="00B161A3" w:rsidP="00B161A3">
      <w:pPr>
        <w:rPr>
          <w:b/>
        </w:rPr>
      </w:pPr>
      <w:r w:rsidRPr="004A3E3D">
        <w:rPr>
          <w:b/>
        </w:rPr>
        <w:lastRenderedPageBreak/>
        <w:t xml:space="preserve">Employer definitions of diversity vary significantly by industry (Table 1). </w:t>
      </w:r>
    </w:p>
    <w:p w:rsidR="00B161A3" w:rsidRDefault="00B161A3" w:rsidP="00B161A3">
      <w:r w:rsidRPr="000E645E">
        <w:t xml:space="preserve">Generally, across each industry, race/ethnicity, gender, and age are the top three factors included in the diversity definition by a significant margin. However, the industries that are the most traditionally male-dominated (Construction, Manufacturing, and Trade, Transportation, and Utilities) include Gender and Race/ethnicity at about the same rate, while industries that are traditionally more female-dominated (Education, Healthcare, and Leisure and Hospitality) see a significantly lower rate of including Gender. </w:t>
      </w:r>
      <w:r w:rsidRPr="000E645E">
        <w:rPr>
          <w:b/>
        </w:rPr>
        <w:t>This could imply that employers’ definition of diversity is sensitive to traditionally under-represented groups in their industry that they are actively recruiting.</w:t>
      </w:r>
    </w:p>
    <w:p w:rsidR="00B161A3" w:rsidRDefault="00B161A3" w:rsidP="00B161A3">
      <w:r w:rsidRPr="00D12F04">
        <w:rPr>
          <w:b/>
        </w:rPr>
        <w:t>Similarly, employers in Construction, Manufacturing, and Other Services</w:t>
      </w:r>
      <w:r w:rsidR="00204D8A" w:rsidRPr="00D12F04">
        <w:rPr>
          <w:rStyle w:val="FootnoteReference"/>
          <w:b/>
        </w:rPr>
        <w:footnoteReference w:id="3"/>
      </w:r>
      <w:r w:rsidRPr="00D12F04">
        <w:rPr>
          <w:b/>
        </w:rPr>
        <w:t xml:space="preserve"> are most likely to include criminal background (over one in five), while those in Education and Financial Activities are least likely to (fewer than one in </w:t>
      </w:r>
      <w:r w:rsidR="00F8735A">
        <w:rPr>
          <w:b/>
        </w:rPr>
        <w:t>10</w:t>
      </w:r>
      <w:r w:rsidRPr="00D12F04">
        <w:rPr>
          <w:b/>
        </w:rPr>
        <w:t>).</w:t>
      </w:r>
      <w:r>
        <w:t xml:space="preserve"> Minnesota passed a so-called ‘ban the box’ law in 2014, which brought new awareness to the problem of employment discrimination faced by those with a criminal background. </w:t>
      </w:r>
      <w:r w:rsidRPr="00D12F04">
        <w:t>However, some occupations and industries, including Education and Financial Activities, are subject to state and federal regulations restricting the hiring of workers with a criminal background due to the sensitive nature of their work.</w:t>
      </w:r>
    </w:p>
    <w:p w:rsidR="00B161A3" w:rsidRDefault="00B161A3" w:rsidP="00B161A3">
      <w:r>
        <w:t xml:space="preserve">The factor with the highest variance by industry is sexual orientation, from a high of 63 percent of employers in Other Services to just 19 percent of employers in Natural Resources and Mining. Religion is another high-variance factor, with more than half of employers in Manufacturing, Healthcare, and Other Services including it in their definition </w:t>
      </w:r>
      <w:r w:rsidR="00553BFD">
        <w:t>compared to</w:t>
      </w:r>
      <w:r>
        <w:t xml:space="preserve"> less than a third of employers in Leisure and Hospitality and Natural R</w:t>
      </w:r>
      <w:r w:rsidR="00553BFD">
        <w:t>esources and Mining</w:t>
      </w:r>
      <w:r>
        <w:t xml:space="preserve">. </w:t>
      </w:r>
    </w:p>
    <w:p w:rsidR="00B161A3" w:rsidRDefault="00B161A3" w:rsidP="00B161A3">
      <w:r>
        <w:t xml:space="preserve">Employers in Natural Resources and Mining, which includes </w:t>
      </w:r>
      <w:r w:rsidR="00204D8A">
        <w:t>farming operations</w:t>
      </w:r>
      <w:r>
        <w:t xml:space="preserve">, have relatively narrow definitions of diversity and a high rate of responding they don’t know or don’t have a definition of diversity. The context of racial diversity in agriculture is very unique, with many </w:t>
      </w:r>
      <w:r w:rsidR="00D12F04">
        <w:t>farms</w:t>
      </w:r>
      <w:r>
        <w:t xml:space="preserve"> around the state hiring foreign workers on seasonal visas. </w:t>
      </w:r>
    </w:p>
    <w:p w:rsidR="00B161A3" w:rsidRDefault="00B161A3" w:rsidP="00B161A3">
      <w:pPr>
        <w:rPr>
          <w:b/>
        </w:rPr>
      </w:pPr>
      <w:r>
        <w:rPr>
          <w:b/>
        </w:rPr>
        <w:br w:type="page"/>
      </w:r>
    </w:p>
    <w:p w:rsidR="00B161A3" w:rsidRPr="001A365D" w:rsidRDefault="00B161A3" w:rsidP="00B161A3">
      <w:pPr>
        <w:pStyle w:val="NoSpacing"/>
        <w:rPr>
          <w:b/>
        </w:rPr>
      </w:pPr>
      <w:r w:rsidRPr="001A365D">
        <w:rPr>
          <w:b/>
        </w:rPr>
        <w:lastRenderedPageBreak/>
        <w:t>Table 1. Percent reporting they include the following in their defin</w:t>
      </w:r>
      <w:r>
        <w:rPr>
          <w:b/>
        </w:rPr>
        <w:t>ition of diversity, by industry</w:t>
      </w:r>
    </w:p>
    <w:tbl>
      <w:tblPr>
        <w:tblW w:w="5209" w:type="pct"/>
        <w:tblInd w:w="-360" w:type="dxa"/>
        <w:tblLayout w:type="fixed"/>
        <w:tblLook w:val="04A0" w:firstRow="1" w:lastRow="0" w:firstColumn="1" w:lastColumn="0" w:noHBand="0" w:noVBand="1"/>
      </w:tblPr>
      <w:tblGrid>
        <w:gridCol w:w="1710"/>
        <w:gridCol w:w="1080"/>
        <w:gridCol w:w="810"/>
        <w:gridCol w:w="1077"/>
        <w:gridCol w:w="1080"/>
        <w:gridCol w:w="991"/>
        <w:gridCol w:w="1080"/>
        <w:gridCol w:w="1172"/>
        <w:gridCol w:w="1172"/>
        <w:gridCol w:w="991"/>
        <w:gridCol w:w="1172"/>
        <w:gridCol w:w="1167"/>
      </w:tblGrid>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Times New Roman" w:eastAsia="Times New Roman" w:hAnsi="Times New Roman" w:cs="Times New Roman"/>
                <w:sz w:val="24"/>
                <w:szCs w:val="24"/>
              </w:rPr>
            </w:pPr>
          </w:p>
        </w:tc>
        <w:tc>
          <w:tcPr>
            <w:tcW w:w="400"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Con</w:t>
            </w:r>
            <w:r>
              <w:rPr>
                <w:rFonts w:ascii="Calibri" w:eastAsia="Times New Roman" w:hAnsi="Calibri" w:cs="Times New Roman"/>
                <w:color w:val="000000"/>
              </w:rPr>
              <w:t>-</w:t>
            </w:r>
            <w:proofErr w:type="spellStart"/>
            <w:r w:rsidRPr="00204426">
              <w:rPr>
                <w:rFonts w:ascii="Calibri" w:eastAsia="Times New Roman" w:hAnsi="Calibri" w:cs="Times New Roman"/>
                <w:color w:val="000000"/>
              </w:rPr>
              <w:t>struction</w:t>
            </w:r>
            <w:proofErr w:type="spellEnd"/>
          </w:p>
        </w:tc>
        <w:tc>
          <w:tcPr>
            <w:tcW w:w="300"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Pr>
                <w:rFonts w:ascii="Calibri" w:eastAsia="Times New Roman" w:hAnsi="Calibri" w:cs="Times New Roman"/>
                <w:color w:val="000000"/>
              </w:rPr>
              <w:t>Edu-cation</w:t>
            </w:r>
          </w:p>
        </w:tc>
        <w:tc>
          <w:tcPr>
            <w:tcW w:w="399"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Financial Activities</w:t>
            </w:r>
          </w:p>
        </w:tc>
        <w:tc>
          <w:tcPr>
            <w:tcW w:w="400"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Govern</w:t>
            </w:r>
            <w:r>
              <w:rPr>
                <w:rFonts w:ascii="Calibri" w:eastAsia="Times New Roman" w:hAnsi="Calibri" w:cs="Times New Roman"/>
                <w:color w:val="000000"/>
              </w:rPr>
              <w:t>-</w:t>
            </w:r>
            <w:proofErr w:type="spellStart"/>
            <w:r w:rsidRPr="00204426">
              <w:rPr>
                <w:rFonts w:ascii="Calibri" w:eastAsia="Times New Roman" w:hAnsi="Calibri" w:cs="Times New Roman"/>
                <w:color w:val="000000"/>
              </w:rPr>
              <w:t>ment</w:t>
            </w:r>
            <w:proofErr w:type="spellEnd"/>
          </w:p>
        </w:tc>
        <w:tc>
          <w:tcPr>
            <w:tcW w:w="367"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Pr>
                <w:rFonts w:ascii="Calibri" w:eastAsia="Times New Roman" w:hAnsi="Calibri" w:cs="Times New Roman"/>
                <w:color w:val="000000"/>
              </w:rPr>
              <w:t>Health-care</w:t>
            </w:r>
          </w:p>
        </w:tc>
        <w:tc>
          <w:tcPr>
            <w:tcW w:w="400"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 xml:space="preserve">Leisure and </w:t>
            </w:r>
            <w:proofErr w:type="spellStart"/>
            <w:r w:rsidRPr="00204426">
              <w:rPr>
                <w:rFonts w:ascii="Calibri" w:eastAsia="Times New Roman" w:hAnsi="Calibri" w:cs="Times New Roman"/>
                <w:color w:val="000000"/>
              </w:rPr>
              <w:t>Hospi</w:t>
            </w:r>
            <w:r>
              <w:rPr>
                <w:rFonts w:ascii="Calibri" w:eastAsia="Times New Roman" w:hAnsi="Calibri" w:cs="Times New Roman"/>
                <w:color w:val="000000"/>
              </w:rPr>
              <w:t>-</w:t>
            </w:r>
            <w:r w:rsidRPr="00204426">
              <w:rPr>
                <w:rFonts w:ascii="Calibri" w:eastAsia="Times New Roman" w:hAnsi="Calibri" w:cs="Times New Roman"/>
                <w:color w:val="000000"/>
              </w:rPr>
              <w:t>tality</w:t>
            </w:r>
            <w:proofErr w:type="spellEnd"/>
          </w:p>
        </w:tc>
        <w:tc>
          <w:tcPr>
            <w:tcW w:w="434" w:type="pct"/>
            <w:tcBorders>
              <w:top w:val="nil"/>
              <w:left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Manu</w:t>
            </w:r>
            <w:r>
              <w:rPr>
                <w:rFonts w:ascii="Calibri" w:eastAsia="Times New Roman" w:hAnsi="Calibri" w:cs="Times New Roman"/>
                <w:color w:val="000000"/>
              </w:rPr>
              <w:t>-</w:t>
            </w:r>
            <w:proofErr w:type="spellStart"/>
            <w:r w:rsidRPr="00204426">
              <w:rPr>
                <w:rFonts w:ascii="Calibri" w:eastAsia="Times New Roman" w:hAnsi="Calibri" w:cs="Times New Roman"/>
                <w:color w:val="000000"/>
              </w:rPr>
              <w:t>facturing</w:t>
            </w:r>
            <w:proofErr w:type="spellEnd"/>
          </w:p>
        </w:tc>
        <w:tc>
          <w:tcPr>
            <w:tcW w:w="434"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Natural Resources and Mining</w:t>
            </w:r>
          </w:p>
        </w:tc>
        <w:tc>
          <w:tcPr>
            <w:tcW w:w="367"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Other Services</w:t>
            </w:r>
          </w:p>
        </w:tc>
        <w:tc>
          <w:tcPr>
            <w:tcW w:w="434"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Pro</w:t>
            </w:r>
            <w:r>
              <w:rPr>
                <w:rFonts w:ascii="Calibri" w:eastAsia="Times New Roman" w:hAnsi="Calibri" w:cs="Times New Roman"/>
                <w:color w:val="000000"/>
              </w:rPr>
              <w:t>-</w:t>
            </w:r>
            <w:proofErr w:type="spellStart"/>
            <w:r w:rsidRPr="00204426">
              <w:rPr>
                <w:rFonts w:ascii="Calibri" w:eastAsia="Times New Roman" w:hAnsi="Calibri" w:cs="Times New Roman"/>
                <w:color w:val="000000"/>
              </w:rPr>
              <w:t>fessional</w:t>
            </w:r>
            <w:proofErr w:type="spellEnd"/>
            <w:r w:rsidRPr="00204426">
              <w:rPr>
                <w:rFonts w:ascii="Calibri" w:eastAsia="Times New Roman" w:hAnsi="Calibri" w:cs="Times New Roman"/>
                <w:color w:val="000000"/>
              </w:rPr>
              <w:t xml:space="preserve"> and Business Services</w:t>
            </w:r>
          </w:p>
        </w:tc>
        <w:tc>
          <w:tcPr>
            <w:tcW w:w="432"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 xml:space="preserve">Trade, </w:t>
            </w:r>
            <w:proofErr w:type="spellStart"/>
            <w:r w:rsidRPr="00204426">
              <w:rPr>
                <w:rFonts w:ascii="Calibri" w:eastAsia="Times New Roman" w:hAnsi="Calibri" w:cs="Times New Roman"/>
                <w:color w:val="000000"/>
              </w:rPr>
              <w:t>Transpor</w:t>
            </w:r>
            <w:r>
              <w:rPr>
                <w:rFonts w:ascii="Calibri" w:eastAsia="Times New Roman" w:hAnsi="Calibri" w:cs="Times New Roman"/>
                <w:color w:val="000000"/>
              </w:rPr>
              <w:t>-</w:t>
            </w:r>
            <w:r w:rsidRPr="00204426">
              <w:rPr>
                <w:rFonts w:ascii="Calibri" w:eastAsia="Times New Roman" w:hAnsi="Calibri" w:cs="Times New Roman"/>
                <w:color w:val="000000"/>
              </w:rPr>
              <w:t>tation</w:t>
            </w:r>
            <w:proofErr w:type="spellEnd"/>
            <w:r w:rsidRPr="00204426">
              <w:rPr>
                <w:rFonts w:ascii="Calibri" w:eastAsia="Times New Roman" w:hAnsi="Calibri" w:cs="Times New Roman"/>
                <w:color w:val="000000"/>
              </w:rPr>
              <w:t>, and Utilities</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Default="00B161A3" w:rsidP="00B161A3">
            <w:pPr>
              <w:spacing w:after="0" w:line="240" w:lineRule="auto"/>
              <w:ind w:left="-18"/>
              <w:rPr>
                <w:rFonts w:ascii="Calibri" w:eastAsia="Times New Roman" w:hAnsi="Calibri" w:cs="Times New Roman"/>
                <w:color w:val="000000"/>
              </w:rPr>
            </w:pPr>
            <w:r w:rsidRPr="00204426">
              <w:rPr>
                <w:rFonts w:ascii="Calibri" w:eastAsia="Times New Roman" w:hAnsi="Calibri" w:cs="Times New Roman"/>
                <w:color w:val="000000"/>
              </w:rPr>
              <w:t>Race/</w:t>
            </w:r>
          </w:p>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ethnicity</w:t>
            </w:r>
          </w:p>
        </w:tc>
        <w:tc>
          <w:tcPr>
            <w:tcW w:w="400" w:type="pct"/>
            <w:tcBorders>
              <w:top w:val="nil"/>
              <w:left w:val="nil"/>
              <w:bottom w:val="nil"/>
              <w:right w:val="nil"/>
            </w:tcBorders>
            <w:shd w:val="clear" w:color="000000" w:fill="84C43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87%</w:t>
            </w:r>
          </w:p>
        </w:tc>
        <w:tc>
          <w:tcPr>
            <w:tcW w:w="300" w:type="pct"/>
            <w:tcBorders>
              <w:top w:val="nil"/>
              <w:left w:val="nil"/>
              <w:bottom w:val="nil"/>
              <w:right w:val="nil"/>
            </w:tcBorders>
            <w:shd w:val="clear" w:color="000000" w:fill="78BE20"/>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95%</w:t>
            </w:r>
          </w:p>
        </w:tc>
        <w:tc>
          <w:tcPr>
            <w:tcW w:w="399" w:type="pct"/>
            <w:tcBorders>
              <w:top w:val="nil"/>
              <w:left w:val="nil"/>
              <w:bottom w:val="nil"/>
              <w:right w:val="nil"/>
            </w:tcBorders>
            <w:shd w:val="clear" w:color="000000" w:fill="8BC73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82%</w:t>
            </w:r>
          </w:p>
        </w:tc>
        <w:tc>
          <w:tcPr>
            <w:tcW w:w="400" w:type="pct"/>
            <w:tcBorders>
              <w:top w:val="nil"/>
              <w:left w:val="nil"/>
              <w:bottom w:val="nil"/>
              <w:right w:val="nil"/>
            </w:tcBorders>
            <w:shd w:val="clear" w:color="000000" w:fill="7EC12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91%</w:t>
            </w:r>
          </w:p>
        </w:tc>
        <w:tc>
          <w:tcPr>
            <w:tcW w:w="367" w:type="pct"/>
            <w:tcBorders>
              <w:top w:val="nil"/>
              <w:left w:val="nil"/>
              <w:bottom w:val="nil"/>
              <w:right w:val="nil"/>
            </w:tcBorders>
            <w:shd w:val="clear" w:color="000000" w:fill="7CC02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92%</w:t>
            </w:r>
          </w:p>
        </w:tc>
        <w:tc>
          <w:tcPr>
            <w:tcW w:w="400" w:type="pct"/>
            <w:tcBorders>
              <w:top w:val="nil"/>
              <w:left w:val="nil"/>
              <w:bottom w:val="nil"/>
              <w:right w:val="nil"/>
            </w:tcBorders>
            <w:shd w:val="clear" w:color="000000" w:fill="8AC73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83%</w:t>
            </w:r>
          </w:p>
        </w:tc>
        <w:tc>
          <w:tcPr>
            <w:tcW w:w="434" w:type="pct"/>
            <w:tcBorders>
              <w:left w:val="nil"/>
              <w:bottom w:val="nil"/>
              <w:right w:val="nil"/>
            </w:tcBorders>
            <w:shd w:val="clear" w:color="000000" w:fill="86C53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86%</w:t>
            </w:r>
          </w:p>
        </w:tc>
        <w:tc>
          <w:tcPr>
            <w:tcW w:w="434" w:type="pct"/>
            <w:tcBorders>
              <w:top w:val="nil"/>
              <w:left w:val="nil"/>
              <w:bottom w:val="nil"/>
              <w:right w:val="nil"/>
            </w:tcBorders>
            <w:shd w:val="clear" w:color="000000" w:fill="9FD16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68%</w:t>
            </w:r>
          </w:p>
        </w:tc>
        <w:tc>
          <w:tcPr>
            <w:tcW w:w="367" w:type="pct"/>
            <w:tcBorders>
              <w:top w:val="nil"/>
              <w:left w:val="nil"/>
              <w:bottom w:val="nil"/>
              <w:right w:val="nil"/>
            </w:tcBorders>
            <w:shd w:val="clear" w:color="000000" w:fill="8CC84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81%</w:t>
            </w:r>
          </w:p>
        </w:tc>
        <w:tc>
          <w:tcPr>
            <w:tcW w:w="434" w:type="pct"/>
            <w:tcBorders>
              <w:top w:val="nil"/>
              <w:left w:val="nil"/>
              <w:bottom w:val="nil"/>
              <w:right w:val="nil"/>
            </w:tcBorders>
            <w:shd w:val="clear" w:color="000000" w:fill="82C330"/>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88%</w:t>
            </w:r>
          </w:p>
        </w:tc>
        <w:tc>
          <w:tcPr>
            <w:tcW w:w="432" w:type="pct"/>
            <w:tcBorders>
              <w:top w:val="nil"/>
              <w:left w:val="nil"/>
              <w:bottom w:val="nil"/>
              <w:right w:val="nil"/>
            </w:tcBorders>
            <w:shd w:val="clear" w:color="000000" w:fill="8AC73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82%</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Gender</w:t>
            </w:r>
          </w:p>
        </w:tc>
        <w:tc>
          <w:tcPr>
            <w:tcW w:w="400" w:type="pct"/>
            <w:tcBorders>
              <w:top w:val="nil"/>
              <w:left w:val="nil"/>
              <w:bottom w:val="nil"/>
              <w:right w:val="nil"/>
            </w:tcBorders>
            <w:shd w:val="clear" w:color="000000" w:fill="8BC73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82%</w:t>
            </w:r>
          </w:p>
        </w:tc>
        <w:tc>
          <w:tcPr>
            <w:tcW w:w="300" w:type="pct"/>
            <w:tcBorders>
              <w:top w:val="nil"/>
              <w:left w:val="nil"/>
              <w:bottom w:val="nil"/>
              <w:right w:val="nil"/>
            </w:tcBorders>
            <w:shd w:val="clear" w:color="000000" w:fill="97CD5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73%</w:t>
            </w:r>
          </w:p>
        </w:tc>
        <w:tc>
          <w:tcPr>
            <w:tcW w:w="399" w:type="pct"/>
            <w:tcBorders>
              <w:top w:val="nil"/>
              <w:left w:val="nil"/>
              <w:bottom w:val="nil"/>
              <w:right w:val="nil"/>
            </w:tcBorders>
            <w:shd w:val="clear" w:color="000000" w:fill="90CA4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79%</w:t>
            </w:r>
          </w:p>
        </w:tc>
        <w:tc>
          <w:tcPr>
            <w:tcW w:w="400" w:type="pct"/>
            <w:tcBorders>
              <w:top w:val="nil"/>
              <w:left w:val="nil"/>
              <w:bottom w:val="nil"/>
              <w:right w:val="nil"/>
            </w:tcBorders>
            <w:shd w:val="clear" w:color="000000" w:fill="92CB4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77%</w:t>
            </w:r>
          </w:p>
        </w:tc>
        <w:tc>
          <w:tcPr>
            <w:tcW w:w="367" w:type="pct"/>
            <w:tcBorders>
              <w:top w:val="nil"/>
              <w:left w:val="nil"/>
              <w:bottom w:val="nil"/>
              <w:right w:val="nil"/>
            </w:tcBorders>
            <w:shd w:val="clear" w:color="000000" w:fill="90CA4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78%</w:t>
            </w:r>
          </w:p>
        </w:tc>
        <w:tc>
          <w:tcPr>
            <w:tcW w:w="400" w:type="pct"/>
            <w:tcBorders>
              <w:top w:val="nil"/>
              <w:left w:val="nil"/>
              <w:bottom w:val="nil"/>
              <w:right w:val="nil"/>
            </w:tcBorders>
            <w:shd w:val="clear" w:color="000000" w:fill="A1D26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66%</w:t>
            </w:r>
          </w:p>
        </w:tc>
        <w:tc>
          <w:tcPr>
            <w:tcW w:w="434" w:type="pct"/>
            <w:tcBorders>
              <w:top w:val="nil"/>
              <w:left w:val="nil"/>
              <w:bottom w:val="nil"/>
              <w:right w:val="nil"/>
            </w:tcBorders>
            <w:shd w:val="clear" w:color="000000" w:fill="87C63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85%</w:t>
            </w:r>
          </w:p>
        </w:tc>
        <w:tc>
          <w:tcPr>
            <w:tcW w:w="434" w:type="pct"/>
            <w:tcBorders>
              <w:top w:val="nil"/>
              <w:left w:val="nil"/>
              <w:bottom w:val="nil"/>
              <w:right w:val="nil"/>
            </w:tcBorders>
            <w:shd w:val="clear" w:color="000000" w:fill="ABD77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59%</w:t>
            </w:r>
          </w:p>
        </w:tc>
        <w:tc>
          <w:tcPr>
            <w:tcW w:w="367" w:type="pct"/>
            <w:tcBorders>
              <w:top w:val="nil"/>
              <w:left w:val="nil"/>
              <w:bottom w:val="nil"/>
              <w:right w:val="nil"/>
            </w:tcBorders>
            <w:shd w:val="clear" w:color="000000" w:fill="8FC94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79%</w:t>
            </w:r>
          </w:p>
        </w:tc>
        <w:tc>
          <w:tcPr>
            <w:tcW w:w="434" w:type="pct"/>
            <w:tcBorders>
              <w:top w:val="nil"/>
              <w:left w:val="nil"/>
              <w:bottom w:val="nil"/>
              <w:right w:val="nil"/>
            </w:tcBorders>
            <w:shd w:val="clear" w:color="000000" w:fill="8BC73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82%</w:t>
            </w:r>
          </w:p>
        </w:tc>
        <w:tc>
          <w:tcPr>
            <w:tcW w:w="432" w:type="pct"/>
            <w:tcBorders>
              <w:top w:val="nil"/>
              <w:left w:val="nil"/>
              <w:bottom w:val="nil"/>
              <w:right w:val="nil"/>
            </w:tcBorders>
            <w:shd w:val="clear" w:color="000000" w:fill="8DC84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80%</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Age</w:t>
            </w:r>
          </w:p>
        </w:tc>
        <w:tc>
          <w:tcPr>
            <w:tcW w:w="400" w:type="pct"/>
            <w:tcBorders>
              <w:top w:val="nil"/>
              <w:left w:val="nil"/>
              <w:bottom w:val="nil"/>
              <w:right w:val="nil"/>
            </w:tcBorders>
            <w:shd w:val="clear" w:color="000000" w:fill="9ACF58"/>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71%</w:t>
            </w:r>
          </w:p>
        </w:tc>
        <w:tc>
          <w:tcPr>
            <w:tcW w:w="300" w:type="pct"/>
            <w:tcBorders>
              <w:top w:val="nil"/>
              <w:left w:val="nil"/>
              <w:bottom w:val="nil"/>
              <w:right w:val="nil"/>
            </w:tcBorders>
            <w:shd w:val="clear" w:color="000000" w:fill="A0D16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67%</w:t>
            </w:r>
          </w:p>
        </w:tc>
        <w:tc>
          <w:tcPr>
            <w:tcW w:w="399" w:type="pct"/>
            <w:tcBorders>
              <w:top w:val="nil"/>
              <w:left w:val="nil"/>
              <w:bottom w:val="nil"/>
              <w:right w:val="nil"/>
            </w:tcBorders>
            <w:shd w:val="clear" w:color="000000" w:fill="90CA4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79%</w:t>
            </w:r>
          </w:p>
        </w:tc>
        <w:tc>
          <w:tcPr>
            <w:tcW w:w="400" w:type="pct"/>
            <w:tcBorders>
              <w:top w:val="nil"/>
              <w:left w:val="nil"/>
              <w:bottom w:val="nil"/>
              <w:right w:val="nil"/>
            </w:tcBorders>
            <w:shd w:val="clear" w:color="000000" w:fill="9BCF5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70%</w:t>
            </w:r>
          </w:p>
        </w:tc>
        <w:tc>
          <w:tcPr>
            <w:tcW w:w="367" w:type="pct"/>
            <w:tcBorders>
              <w:top w:val="nil"/>
              <w:left w:val="nil"/>
              <w:bottom w:val="nil"/>
              <w:right w:val="nil"/>
            </w:tcBorders>
            <w:shd w:val="clear" w:color="000000" w:fill="90CA4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78%</w:t>
            </w:r>
          </w:p>
        </w:tc>
        <w:tc>
          <w:tcPr>
            <w:tcW w:w="400" w:type="pct"/>
            <w:tcBorders>
              <w:top w:val="nil"/>
              <w:left w:val="nil"/>
              <w:bottom w:val="nil"/>
              <w:right w:val="nil"/>
            </w:tcBorders>
            <w:shd w:val="clear" w:color="000000" w:fill="98CD5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73%</w:t>
            </w:r>
          </w:p>
        </w:tc>
        <w:tc>
          <w:tcPr>
            <w:tcW w:w="434" w:type="pct"/>
            <w:tcBorders>
              <w:top w:val="nil"/>
              <w:left w:val="nil"/>
              <w:bottom w:val="nil"/>
              <w:right w:val="nil"/>
            </w:tcBorders>
            <w:shd w:val="clear" w:color="000000" w:fill="8BC73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82%</w:t>
            </w:r>
          </w:p>
        </w:tc>
        <w:tc>
          <w:tcPr>
            <w:tcW w:w="434" w:type="pct"/>
            <w:tcBorders>
              <w:top w:val="nil"/>
              <w:left w:val="nil"/>
              <w:bottom w:val="nil"/>
              <w:right w:val="nil"/>
            </w:tcBorders>
            <w:shd w:val="clear" w:color="000000" w:fill="A3D36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65%</w:t>
            </w:r>
          </w:p>
        </w:tc>
        <w:tc>
          <w:tcPr>
            <w:tcW w:w="367" w:type="pct"/>
            <w:tcBorders>
              <w:top w:val="nil"/>
              <w:left w:val="nil"/>
              <w:bottom w:val="nil"/>
              <w:right w:val="nil"/>
            </w:tcBorders>
            <w:shd w:val="clear" w:color="000000" w:fill="8CC84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81%</w:t>
            </w:r>
          </w:p>
        </w:tc>
        <w:tc>
          <w:tcPr>
            <w:tcW w:w="434" w:type="pct"/>
            <w:tcBorders>
              <w:top w:val="nil"/>
              <w:left w:val="nil"/>
              <w:bottom w:val="nil"/>
              <w:right w:val="nil"/>
            </w:tcBorders>
            <w:shd w:val="clear" w:color="000000" w:fill="8EC94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80%</w:t>
            </w:r>
          </w:p>
        </w:tc>
        <w:tc>
          <w:tcPr>
            <w:tcW w:w="432" w:type="pct"/>
            <w:tcBorders>
              <w:top w:val="nil"/>
              <w:left w:val="nil"/>
              <w:bottom w:val="nil"/>
              <w:right w:val="nil"/>
            </w:tcBorders>
            <w:shd w:val="clear" w:color="000000" w:fill="8FC94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79%</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National origin</w:t>
            </w:r>
          </w:p>
        </w:tc>
        <w:tc>
          <w:tcPr>
            <w:tcW w:w="400" w:type="pct"/>
            <w:tcBorders>
              <w:top w:val="nil"/>
              <w:left w:val="nil"/>
              <w:bottom w:val="nil"/>
              <w:right w:val="nil"/>
            </w:tcBorders>
            <w:shd w:val="clear" w:color="000000" w:fill="ADD878"/>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58%</w:t>
            </w:r>
          </w:p>
        </w:tc>
        <w:tc>
          <w:tcPr>
            <w:tcW w:w="300" w:type="pct"/>
            <w:tcBorders>
              <w:top w:val="nil"/>
              <w:left w:val="nil"/>
              <w:bottom w:val="nil"/>
              <w:right w:val="nil"/>
            </w:tcBorders>
            <w:shd w:val="clear" w:color="000000" w:fill="9ED15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68%</w:t>
            </w:r>
          </w:p>
        </w:tc>
        <w:tc>
          <w:tcPr>
            <w:tcW w:w="399" w:type="pct"/>
            <w:tcBorders>
              <w:top w:val="nil"/>
              <w:left w:val="nil"/>
              <w:bottom w:val="nil"/>
              <w:right w:val="nil"/>
            </w:tcBorders>
            <w:shd w:val="clear" w:color="000000" w:fill="A9D67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61%</w:t>
            </w:r>
          </w:p>
        </w:tc>
        <w:tc>
          <w:tcPr>
            <w:tcW w:w="400" w:type="pct"/>
            <w:tcBorders>
              <w:top w:val="nil"/>
              <w:left w:val="nil"/>
              <w:bottom w:val="nil"/>
              <w:right w:val="nil"/>
            </w:tcBorders>
            <w:shd w:val="clear" w:color="000000" w:fill="A2D26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66%</w:t>
            </w:r>
          </w:p>
        </w:tc>
        <w:tc>
          <w:tcPr>
            <w:tcW w:w="367" w:type="pct"/>
            <w:tcBorders>
              <w:top w:val="nil"/>
              <w:left w:val="nil"/>
              <w:bottom w:val="nil"/>
              <w:right w:val="nil"/>
            </w:tcBorders>
            <w:shd w:val="clear" w:color="000000" w:fill="9ACE5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72%</w:t>
            </w:r>
          </w:p>
        </w:tc>
        <w:tc>
          <w:tcPr>
            <w:tcW w:w="400" w:type="pct"/>
            <w:tcBorders>
              <w:top w:val="nil"/>
              <w:left w:val="nil"/>
              <w:bottom w:val="nil"/>
              <w:right w:val="nil"/>
            </w:tcBorders>
            <w:shd w:val="clear" w:color="000000" w:fill="B0D97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56%</w:t>
            </w:r>
          </w:p>
        </w:tc>
        <w:tc>
          <w:tcPr>
            <w:tcW w:w="434" w:type="pct"/>
            <w:tcBorders>
              <w:top w:val="nil"/>
              <w:left w:val="nil"/>
              <w:bottom w:val="nil"/>
              <w:right w:val="nil"/>
            </w:tcBorders>
            <w:shd w:val="clear" w:color="000000" w:fill="9ACF58"/>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71%</w:t>
            </w:r>
          </w:p>
        </w:tc>
        <w:tc>
          <w:tcPr>
            <w:tcW w:w="434" w:type="pct"/>
            <w:tcBorders>
              <w:top w:val="nil"/>
              <w:left w:val="nil"/>
              <w:bottom w:val="nil"/>
              <w:right w:val="nil"/>
            </w:tcBorders>
            <w:shd w:val="clear" w:color="000000" w:fill="BADE8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49%</w:t>
            </w:r>
          </w:p>
        </w:tc>
        <w:tc>
          <w:tcPr>
            <w:tcW w:w="367" w:type="pct"/>
            <w:tcBorders>
              <w:top w:val="nil"/>
              <w:left w:val="nil"/>
              <w:bottom w:val="nil"/>
              <w:right w:val="nil"/>
            </w:tcBorders>
            <w:shd w:val="clear" w:color="000000" w:fill="9BCF5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71%</w:t>
            </w:r>
          </w:p>
        </w:tc>
        <w:tc>
          <w:tcPr>
            <w:tcW w:w="434" w:type="pct"/>
            <w:tcBorders>
              <w:top w:val="nil"/>
              <w:left w:val="nil"/>
              <w:bottom w:val="nil"/>
              <w:right w:val="nil"/>
            </w:tcBorders>
            <w:shd w:val="clear" w:color="000000" w:fill="9FD15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68%</w:t>
            </w:r>
          </w:p>
        </w:tc>
        <w:tc>
          <w:tcPr>
            <w:tcW w:w="432" w:type="pct"/>
            <w:tcBorders>
              <w:top w:val="nil"/>
              <w:left w:val="nil"/>
              <w:bottom w:val="nil"/>
              <w:right w:val="nil"/>
            </w:tcBorders>
            <w:shd w:val="clear" w:color="000000" w:fill="A6D56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63%</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Disability</w:t>
            </w:r>
          </w:p>
        </w:tc>
        <w:tc>
          <w:tcPr>
            <w:tcW w:w="400" w:type="pct"/>
            <w:tcBorders>
              <w:top w:val="nil"/>
              <w:left w:val="nil"/>
              <w:bottom w:val="nil"/>
              <w:right w:val="nil"/>
            </w:tcBorders>
            <w:shd w:val="clear" w:color="000000" w:fill="AAD67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60%</w:t>
            </w:r>
          </w:p>
        </w:tc>
        <w:tc>
          <w:tcPr>
            <w:tcW w:w="300" w:type="pct"/>
            <w:tcBorders>
              <w:top w:val="nil"/>
              <w:left w:val="nil"/>
              <w:bottom w:val="nil"/>
              <w:right w:val="nil"/>
            </w:tcBorders>
            <w:shd w:val="clear" w:color="000000" w:fill="AED87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57%</w:t>
            </w:r>
          </w:p>
        </w:tc>
        <w:tc>
          <w:tcPr>
            <w:tcW w:w="399" w:type="pct"/>
            <w:tcBorders>
              <w:top w:val="nil"/>
              <w:left w:val="nil"/>
              <w:bottom w:val="nil"/>
              <w:right w:val="nil"/>
            </w:tcBorders>
            <w:shd w:val="clear" w:color="000000" w:fill="B6DC8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52%</w:t>
            </w:r>
          </w:p>
        </w:tc>
        <w:tc>
          <w:tcPr>
            <w:tcW w:w="400" w:type="pct"/>
            <w:tcBorders>
              <w:top w:val="nil"/>
              <w:left w:val="nil"/>
              <w:bottom w:val="nil"/>
              <w:right w:val="nil"/>
            </w:tcBorders>
            <w:shd w:val="clear" w:color="000000" w:fill="ABD77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59%</w:t>
            </w:r>
          </w:p>
        </w:tc>
        <w:tc>
          <w:tcPr>
            <w:tcW w:w="367" w:type="pct"/>
            <w:tcBorders>
              <w:top w:val="nil"/>
              <w:left w:val="nil"/>
              <w:bottom w:val="nil"/>
              <w:right w:val="nil"/>
            </w:tcBorders>
            <w:shd w:val="clear" w:color="000000" w:fill="A3D36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65%</w:t>
            </w:r>
          </w:p>
        </w:tc>
        <w:tc>
          <w:tcPr>
            <w:tcW w:w="400" w:type="pct"/>
            <w:tcBorders>
              <w:top w:val="nil"/>
              <w:left w:val="nil"/>
              <w:bottom w:val="nil"/>
              <w:right w:val="nil"/>
            </w:tcBorders>
            <w:shd w:val="clear" w:color="000000" w:fill="BBDF8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48%</w:t>
            </w:r>
          </w:p>
        </w:tc>
        <w:tc>
          <w:tcPr>
            <w:tcW w:w="434" w:type="pct"/>
            <w:tcBorders>
              <w:top w:val="nil"/>
              <w:left w:val="nil"/>
              <w:bottom w:val="nil"/>
              <w:right w:val="nil"/>
            </w:tcBorders>
            <w:shd w:val="clear" w:color="000000" w:fill="ABD77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60%</w:t>
            </w:r>
          </w:p>
        </w:tc>
        <w:tc>
          <w:tcPr>
            <w:tcW w:w="434" w:type="pct"/>
            <w:tcBorders>
              <w:top w:val="nil"/>
              <w:left w:val="nil"/>
              <w:bottom w:val="nil"/>
              <w:right w:val="nil"/>
            </w:tcBorders>
            <w:shd w:val="clear" w:color="000000" w:fill="D5EBB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30%</w:t>
            </w:r>
          </w:p>
        </w:tc>
        <w:tc>
          <w:tcPr>
            <w:tcW w:w="367" w:type="pct"/>
            <w:tcBorders>
              <w:top w:val="nil"/>
              <w:left w:val="nil"/>
              <w:bottom w:val="nil"/>
              <w:right w:val="nil"/>
            </w:tcBorders>
            <w:shd w:val="clear" w:color="000000" w:fill="A1D26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67%</w:t>
            </w:r>
          </w:p>
        </w:tc>
        <w:tc>
          <w:tcPr>
            <w:tcW w:w="434" w:type="pct"/>
            <w:tcBorders>
              <w:top w:val="nil"/>
              <w:left w:val="nil"/>
              <w:bottom w:val="nil"/>
              <w:right w:val="nil"/>
            </w:tcBorders>
            <w:shd w:val="clear" w:color="000000" w:fill="A4D368"/>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65%</w:t>
            </w:r>
          </w:p>
        </w:tc>
        <w:tc>
          <w:tcPr>
            <w:tcW w:w="432" w:type="pct"/>
            <w:tcBorders>
              <w:top w:val="nil"/>
              <w:left w:val="nil"/>
              <w:bottom w:val="nil"/>
              <w:right w:val="nil"/>
            </w:tcBorders>
            <w:shd w:val="clear" w:color="000000" w:fill="AFD97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57%</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Sexual orientation</w:t>
            </w:r>
          </w:p>
        </w:tc>
        <w:tc>
          <w:tcPr>
            <w:tcW w:w="400" w:type="pct"/>
            <w:tcBorders>
              <w:top w:val="nil"/>
              <w:left w:val="nil"/>
              <w:bottom w:val="nil"/>
              <w:right w:val="nil"/>
            </w:tcBorders>
            <w:shd w:val="clear" w:color="000000" w:fill="D0E9B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33%</w:t>
            </w:r>
          </w:p>
        </w:tc>
        <w:tc>
          <w:tcPr>
            <w:tcW w:w="300" w:type="pct"/>
            <w:tcBorders>
              <w:top w:val="nil"/>
              <w:left w:val="nil"/>
              <w:bottom w:val="nil"/>
              <w:right w:val="nil"/>
            </w:tcBorders>
            <w:shd w:val="clear" w:color="000000" w:fill="BDDF9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47%</w:t>
            </w:r>
          </w:p>
        </w:tc>
        <w:tc>
          <w:tcPr>
            <w:tcW w:w="399" w:type="pct"/>
            <w:tcBorders>
              <w:top w:val="nil"/>
              <w:left w:val="nil"/>
              <w:bottom w:val="nil"/>
              <w:right w:val="nil"/>
            </w:tcBorders>
            <w:shd w:val="clear" w:color="000000" w:fill="B8DD8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50%</w:t>
            </w:r>
          </w:p>
        </w:tc>
        <w:tc>
          <w:tcPr>
            <w:tcW w:w="400" w:type="pct"/>
            <w:tcBorders>
              <w:top w:val="nil"/>
              <w:left w:val="nil"/>
              <w:bottom w:val="nil"/>
              <w:right w:val="nil"/>
            </w:tcBorders>
            <w:shd w:val="clear" w:color="000000" w:fill="ADD87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58%</w:t>
            </w:r>
          </w:p>
        </w:tc>
        <w:tc>
          <w:tcPr>
            <w:tcW w:w="367" w:type="pct"/>
            <w:tcBorders>
              <w:top w:val="nil"/>
              <w:left w:val="nil"/>
              <w:bottom w:val="nil"/>
              <w:right w:val="nil"/>
            </w:tcBorders>
            <w:shd w:val="clear" w:color="000000" w:fill="A8D56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62%</w:t>
            </w:r>
          </w:p>
        </w:tc>
        <w:tc>
          <w:tcPr>
            <w:tcW w:w="400" w:type="pct"/>
            <w:tcBorders>
              <w:top w:val="nil"/>
              <w:left w:val="nil"/>
              <w:bottom w:val="nil"/>
              <w:right w:val="nil"/>
            </w:tcBorders>
            <w:shd w:val="clear" w:color="000000" w:fill="BEE09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46%</w:t>
            </w:r>
          </w:p>
        </w:tc>
        <w:tc>
          <w:tcPr>
            <w:tcW w:w="434" w:type="pct"/>
            <w:tcBorders>
              <w:top w:val="nil"/>
              <w:left w:val="nil"/>
              <w:bottom w:val="nil"/>
              <w:right w:val="nil"/>
            </w:tcBorders>
            <w:shd w:val="clear" w:color="000000" w:fill="AED87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57%</w:t>
            </w:r>
          </w:p>
        </w:tc>
        <w:tc>
          <w:tcPr>
            <w:tcW w:w="434" w:type="pct"/>
            <w:tcBorders>
              <w:top w:val="nil"/>
              <w:left w:val="nil"/>
              <w:bottom w:val="nil"/>
              <w:right w:val="nil"/>
            </w:tcBorders>
            <w:shd w:val="clear" w:color="000000" w:fill="E5F3D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19%</w:t>
            </w:r>
          </w:p>
        </w:tc>
        <w:tc>
          <w:tcPr>
            <w:tcW w:w="367" w:type="pct"/>
            <w:tcBorders>
              <w:top w:val="nil"/>
              <w:left w:val="nil"/>
              <w:bottom w:val="nil"/>
              <w:right w:val="nil"/>
            </w:tcBorders>
            <w:shd w:val="clear" w:color="000000" w:fill="A7D56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63%</w:t>
            </w:r>
          </w:p>
        </w:tc>
        <w:tc>
          <w:tcPr>
            <w:tcW w:w="434" w:type="pct"/>
            <w:tcBorders>
              <w:top w:val="nil"/>
              <w:left w:val="nil"/>
              <w:bottom w:val="nil"/>
              <w:right w:val="nil"/>
            </w:tcBorders>
            <w:shd w:val="clear" w:color="000000" w:fill="AED87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57%</w:t>
            </w:r>
          </w:p>
        </w:tc>
        <w:tc>
          <w:tcPr>
            <w:tcW w:w="432" w:type="pct"/>
            <w:tcBorders>
              <w:top w:val="nil"/>
              <w:left w:val="nil"/>
              <w:bottom w:val="nil"/>
              <w:right w:val="nil"/>
            </w:tcBorders>
            <w:shd w:val="clear" w:color="000000" w:fill="B8DD8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50%</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Veteran status</w:t>
            </w:r>
          </w:p>
        </w:tc>
        <w:tc>
          <w:tcPr>
            <w:tcW w:w="400" w:type="pct"/>
            <w:tcBorders>
              <w:top w:val="nil"/>
              <w:left w:val="nil"/>
              <w:bottom w:val="nil"/>
              <w:right w:val="nil"/>
            </w:tcBorders>
            <w:shd w:val="clear" w:color="000000" w:fill="BADE8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49%</w:t>
            </w:r>
          </w:p>
        </w:tc>
        <w:tc>
          <w:tcPr>
            <w:tcW w:w="300" w:type="pct"/>
            <w:tcBorders>
              <w:top w:val="nil"/>
              <w:left w:val="nil"/>
              <w:bottom w:val="nil"/>
              <w:right w:val="nil"/>
            </w:tcBorders>
            <w:shd w:val="clear" w:color="000000" w:fill="C8E5A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39%</w:t>
            </w:r>
          </w:p>
        </w:tc>
        <w:tc>
          <w:tcPr>
            <w:tcW w:w="399" w:type="pct"/>
            <w:tcBorders>
              <w:top w:val="nil"/>
              <w:left w:val="nil"/>
              <w:bottom w:val="nil"/>
              <w:right w:val="nil"/>
            </w:tcBorders>
            <w:shd w:val="clear" w:color="000000" w:fill="BBDE8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48%</w:t>
            </w:r>
          </w:p>
        </w:tc>
        <w:tc>
          <w:tcPr>
            <w:tcW w:w="400" w:type="pct"/>
            <w:tcBorders>
              <w:top w:val="nil"/>
              <w:left w:val="nil"/>
              <w:bottom w:val="nil"/>
              <w:right w:val="nil"/>
            </w:tcBorders>
            <w:shd w:val="clear" w:color="000000" w:fill="BADE8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49%</w:t>
            </w:r>
          </w:p>
        </w:tc>
        <w:tc>
          <w:tcPr>
            <w:tcW w:w="367" w:type="pct"/>
            <w:tcBorders>
              <w:top w:val="nil"/>
              <w:left w:val="nil"/>
              <w:bottom w:val="nil"/>
              <w:right w:val="nil"/>
            </w:tcBorders>
            <w:shd w:val="clear" w:color="000000" w:fill="C4E39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42%</w:t>
            </w:r>
          </w:p>
        </w:tc>
        <w:tc>
          <w:tcPr>
            <w:tcW w:w="400" w:type="pct"/>
            <w:tcBorders>
              <w:top w:val="nil"/>
              <w:left w:val="nil"/>
              <w:bottom w:val="nil"/>
              <w:right w:val="nil"/>
            </w:tcBorders>
            <w:shd w:val="clear" w:color="000000" w:fill="D5EBB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30%</w:t>
            </w:r>
          </w:p>
        </w:tc>
        <w:tc>
          <w:tcPr>
            <w:tcW w:w="434" w:type="pct"/>
            <w:tcBorders>
              <w:top w:val="nil"/>
              <w:left w:val="nil"/>
              <w:bottom w:val="nil"/>
              <w:right w:val="nil"/>
            </w:tcBorders>
            <w:shd w:val="clear" w:color="000000" w:fill="B7DC8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51%</w:t>
            </w:r>
          </w:p>
        </w:tc>
        <w:tc>
          <w:tcPr>
            <w:tcW w:w="434" w:type="pct"/>
            <w:tcBorders>
              <w:top w:val="nil"/>
              <w:left w:val="nil"/>
              <w:bottom w:val="nil"/>
              <w:right w:val="nil"/>
            </w:tcBorders>
            <w:shd w:val="clear" w:color="000000" w:fill="D9EDC0"/>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27%</w:t>
            </w:r>
          </w:p>
        </w:tc>
        <w:tc>
          <w:tcPr>
            <w:tcW w:w="367" w:type="pct"/>
            <w:tcBorders>
              <w:top w:val="nil"/>
              <w:left w:val="nil"/>
              <w:bottom w:val="nil"/>
              <w:right w:val="nil"/>
            </w:tcBorders>
            <w:shd w:val="clear" w:color="000000" w:fill="BBDF8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48%</w:t>
            </w:r>
          </w:p>
        </w:tc>
        <w:tc>
          <w:tcPr>
            <w:tcW w:w="434" w:type="pct"/>
            <w:tcBorders>
              <w:top w:val="nil"/>
              <w:left w:val="nil"/>
              <w:bottom w:val="nil"/>
              <w:right w:val="nil"/>
            </w:tcBorders>
            <w:shd w:val="clear" w:color="000000" w:fill="BBDE8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48%</w:t>
            </w:r>
          </w:p>
        </w:tc>
        <w:tc>
          <w:tcPr>
            <w:tcW w:w="432" w:type="pct"/>
            <w:tcBorders>
              <w:top w:val="nil"/>
              <w:left w:val="nil"/>
              <w:bottom w:val="nil"/>
              <w:right w:val="nil"/>
            </w:tcBorders>
            <w:shd w:val="clear" w:color="000000" w:fill="BCDF8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48%</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Religion</w:t>
            </w:r>
          </w:p>
        </w:tc>
        <w:tc>
          <w:tcPr>
            <w:tcW w:w="400" w:type="pct"/>
            <w:tcBorders>
              <w:top w:val="nil"/>
              <w:left w:val="nil"/>
              <w:bottom w:val="nil"/>
              <w:right w:val="nil"/>
            </w:tcBorders>
            <w:shd w:val="clear" w:color="000000" w:fill="D0E9B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33%</w:t>
            </w:r>
          </w:p>
        </w:tc>
        <w:tc>
          <w:tcPr>
            <w:tcW w:w="300" w:type="pct"/>
            <w:tcBorders>
              <w:top w:val="nil"/>
              <w:left w:val="nil"/>
              <w:bottom w:val="nil"/>
              <w:right w:val="nil"/>
            </w:tcBorders>
            <w:shd w:val="clear" w:color="000000" w:fill="C4E39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42%</w:t>
            </w:r>
          </w:p>
        </w:tc>
        <w:tc>
          <w:tcPr>
            <w:tcW w:w="399" w:type="pct"/>
            <w:tcBorders>
              <w:top w:val="nil"/>
              <w:left w:val="nil"/>
              <w:bottom w:val="nil"/>
              <w:right w:val="nil"/>
            </w:tcBorders>
            <w:shd w:val="clear" w:color="000000" w:fill="C3E29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43%</w:t>
            </w:r>
          </w:p>
        </w:tc>
        <w:tc>
          <w:tcPr>
            <w:tcW w:w="400" w:type="pct"/>
            <w:tcBorders>
              <w:top w:val="nil"/>
              <w:left w:val="nil"/>
              <w:bottom w:val="nil"/>
              <w:right w:val="nil"/>
            </w:tcBorders>
            <w:shd w:val="clear" w:color="000000" w:fill="BADE8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49%</w:t>
            </w:r>
          </w:p>
        </w:tc>
        <w:tc>
          <w:tcPr>
            <w:tcW w:w="367" w:type="pct"/>
            <w:tcBorders>
              <w:top w:val="nil"/>
              <w:left w:val="nil"/>
              <w:bottom w:val="nil"/>
              <w:right w:val="nil"/>
            </w:tcBorders>
            <w:shd w:val="clear" w:color="000000" w:fill="ADD87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58%</w:t>
            </w:r>
          </w:p>
        </w:tc>
        <w:tc>
          <w:tcPr>
            <w:tcW w:w="400" w:type="pct"/>
            <w:tcBorders>
              <w:top w:val="nil"/>
              <w:left w:val="nil"/>
              <w:bottom w:val="nil"/>
              <w:right w:val="nil"/>
            </w:tcBorders>
            <w:shd w:val="clear" w:color="000000" w:fill="D3EAB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31%</w:t>
            </w:r>
          </w:p>
        </w:tc>
        <w:tc>
          <w:tcPr>
            <w:tcW w:w="434" w:type="pct"/>
            <w:tcBorders>
              <w:top w:val="nil"/>
              <w:left w:val="nil"/>
              <w:bottom w:val="nil"/>
              <w:right w:val="nil"/>
            </w:tcBorders>
            <w:shd w:val="clear" w:color="000000" w:fill="ABD77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60%</w:t>
            </w:r>
          </w:p>
        </w:tc>
        <w:tc>
          <w:tcPr>
            <w:tcW w:w="434" w:type="pct"/>
            <w:tcBorders>
              <w:top w:val="nil"/>
              <w:left w:val="nil"/>
              <w:bottom w:val="nil"/>
              <w:right w:val="nil"/>
            </w:tcBorders>
            <w:shd w:val="clear" w:color="000000" w:fill="D5EBB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30%</w:t>
            </w:r>
          </w:p>
        </w:tc>
        <w:tc>
          <w:tcPr>
            <w:tcW w:w="367" w:type="pct"/>
            <w:tcBorders>
              <w:top w:val="nil"/>
              <w:left w:val="nil"/>
              <w:bottom w:val="nil"/>
              <w:right w:val="nil"/>
            </w:tcBorders>
            <w:shd w:val="clear" w:color="000000" w:fill="AFD97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56%</w:t>
            </w:r>
          </w:p>
        </w:tc>
        <w:tc>
          <w:tcPr>
            <w:tcW w:w="434" w:type="pct"/>
            <w:tcBorders>
              <w:top w:val="nil"/>
              <w:left w:val="nil"/>
              <w:bottom w:val="nil"/>
              <w:right w:val="nil"/>
            </w:tcBorders>
            <w:shd w:val="clear" w:color="000000" w:fill="BADE8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49%</w:t>
            </w:r>
          </w:p>
        </w:tc>
        <w:tc>
          <w:tcPr>
            <w:tcW w:w="432" w:type="pct"/>
            <w:tcBorders>
              <w:top w:val="nil"/>
              <w:left w:val="nil"/>
              <w:bottom w:val="nil"/>
              <w:right w:val="nil"/>
            </w:tcBorders>
            <w:shd w:val="clear" w:color="000000" w:fill="C0E19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44%</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Languages spoken</w:t>
            </w:r>
          </w:p>
        </w:tc>
        <w:tc>
          <w:tcPr>
            <w:tcW w:w="400" w:type="pct"/>
            <w:tcBorders>
              <w:top w:val="nil"/>
              <w:left w:val="nil"/>
              <w:bottom w:val="nil"/>
              <w:right w:val="nil"/>
            </w:tcBorders>
            <w:shd w:val="clear" w:color="000000" w:fill="CDE7A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36%</w:t>
            </w:r>
          </w:p>
        </w:tc>
        <w:tc>
          <w:tcPr>
            <w:tcW w:w="300" w:type="pct"/>
            <w:tcBorders>
              <w:top w:val="nil"/>
              <w:left w:val="nil"/>
              <w:bottom w:val="nil"/>
              <w:right w:val="nil"/>
            </w:tcBorders>
            <w:shd w:val="clear" w:color="000000" w:fill="C3E29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43%</w:t>
            </w:r>
          </w:p>
        </w:tc>
        <w:tc>
          <w:tcPr>
            <w:tcW w:w="399" w:type="pct"/>
            <w:tcBorders>
              <w:top w:val="nil"/>
              <w:left w:val="nil"/>
              <w:bottom w:val="nil"/>
              <w:right w:val="nil"/>
            </w:tcBorders>
            <w:shd w:val="clear" w:color="000000" w:fill="CDE7A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36%</w:t>
            </w:r>
          </w:p>
        </w:tc>
        <w:tc>
          <w:tcPr>
            <w:tcW w:w="400" w:type="pct"/>
            <w:tcBorders>
              <w:top w:val="nil"/>
              <w:left w:val="nil"/>
              <w:bottom w:val="nil"/>
              <w:right w:val="nil"/>
            </w:tcBorders>
            <w:shd w:val="clear" w:color="000000" w:fill="C5E39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41%</w:t>
            </w:r>
          </w:p>
        </w:tc>
        <w:tc>
          <w:tcPr>
            <w:tcW w:w="367" w:type="pct"/>
            <w:tcBorders>
              <w:top w:val="nil"/>
              <w:left w:val="nil"/>
              <w:bottom w:val="nil"/>
              <w:right w:val="nil"/>
            </w:tcBorders>
            <w:shd w:val="clear" w:color="000000" w:fill="B9DE8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49%</w:t>
            </w:r>
          </w:p>
        </w:tc>
        <w:tc>
          <w:tcPr>
            <w:tcW w:w="400" w:type="pct"/>
            <w:tcBorders>
              <w:top w:val="nil"/>
              <w:left w:val="nil"/>
              <w:bottom w:val="nil"/>
              <w:right w:val="nil"/>
            </w:tcBorders>
            <w:shd w:val="clear" w:color="000000" w:fill="D0E9B2"/>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33%</w:t>
            </w:r>
          </w:p>
        </w:tc>
        <w:tc>
          <w:tcPr>
            <w:tcW w:w="434" w:type="pct"/>
            <w:tcBorders>
              <w:top w:val="nil"/>
              <w:left w:val="nil"/>
              <w:bottom w:val="nil"/>
              <w:right w:val="nil"/>
            </w:tcBorders>
            <w:shd w:val="clear" w:color="000000" w:fill="C3E29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43%</w:t>
            </w:r>
          </w:p>
        </w:tc>
        <w:tc>
          <w:tcPr>
            <w:tcW w:w="434" w:type="pct"/>
            <w:tcBorders>
              <w:top w:val="nil"/>
              <w:left w:val="nil"/>
              <w:bottom w:val="nil"/>
              <w:right w:val="nil"/>
            </w:tcBorders>
            <w:shd w:val="clear" w:color="000000" w:fill="D5EBB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30%</w:t>
            </w:r>
          </w:p>
        </w:tc>
        <w:tc>
          <w:tcPr>
            <w:tcW w:w="367" w:type="pct"/>
            <w:tcBorders>
              <w:top w:val="nil"/>
              <w:left w:val="nil"/>
              <w:bottom w:val="nil"/>
              <w:right w:val="nil"/>
            </w:tcBorders>
            <w:shd w:val="clear" w:color="000000" w:fill="BEE09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46%</w:t>
            </w:r>
          </w:p>
        </w:tc>
        <w:tc>
          <w:tcPr>
            <w:tcW w:w="434" w:type="pct"/>
            <w:tcBorders>
              <w:top w:val="nil"/>
              <w:left w:val="nil"/>
              <w:bottom w:val="nil"/>
              <w:right w:val="nil"/>
            </w:tcBorders>
            <w:shd w:val="clear" w:color="000000" w:fill="C9E5A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38%</w:t>
            </w:r>
          </w:p>
        </w:tc>
        <w:tc>
          <w:tcPr>
            <w:tcW w:w="432" w:type="pct"/>
            <w:tcBorders>
              <w:top w:val="nil"/>
              <w:left w:val="nil"/>
              <w:bottom w:val="nil"/>
              <w:right w:val="nil"/>
            </w:tcBorders>
            <w:shd w:val="clear" w:color="000000" w:fill="CEE8A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35%</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Values/</w:t>
            </w:r>
          </w:p>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beliefs</w:t>
            </w:r>
          </w:p>
        </w:tc>
        <w:tc>
          <w:tcPr>
            <w:tcW w:w="400" w:type="pct"/>
            <w:tcBorders>
              <w:top w:val="nil"/>
              <w:left w:val="nil"/>
              <w:bottom w:val="nil"/>
              <w:right w:val="nil"/>
            </w:tcBorders>
            <w:shd w:val="clear" w:color="000000" w:fill="E9F5D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16%</w:t>
            </w:r>
          </w:p>
        </w:tc>
        <w:tc>
          <w:tcPr>
            <w:tcW w:w="300" w:type="pct"/>
            <w:tcBorders>
              <w:top w:val="nil"/>
              <w:left w:val="nil"/>
              <w:bottom w:val="nil"/>
              <w:right w:val="nil"/>
            </w:tcBorders>
            <w:shd w:val="clear" w:color="000000" w:fill="DEEFC8"/>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23%</w:t>
            </w:r>
          </w:p>
        </w:tc>
        <w:tc>
          <w:tcPr>
            <w:tcW w:w="399" w:type="pct"/>
            <w:tcBorders>
              <w:top w:val="nil"/>
              <w:left w:val="nil"/>
              <w:bottom w:val="nil"/>
              <w:right w:val="nil"/>
            </w:tcBorders>
            <w:shd w:val="clear" w:color="000000" w:fill="D7ECB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29%</w:t>
            </w:r>
          </w:p>
        </w:tc>
        <w:tc>
          <w:tcPr>
            <w:tcW w:w="400" w:type="pct"/>
            <w:tcBorders>
              <w:top w:val="nil"/>
              <w:left w:val="nil"/>
              <w:bottom w:val="nil"/>
              <w:right w:val="nil"/>
            </w:tcBorders>
            <w:shd w:val="clear" w:color="000000" w:fill="D1E9B2"/>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33%</w:t>
            </w:r>
          </w:p>
        </w:tc>
        <w:tc>
          <w:tcPr>
            <w:tcW w:w="367" w:type="pct"/>
            <w:tcBorders>
              <w:top w:val="nil"/>
              <w:left w:val="nil"/>
              <w:bottom w:val="nil"/>
              <w:right w:val="nil"/>
            </w:tcBorders>
            <w:shd w:val="clear" w:color="000000" w:fill="C8E5A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39%</w:t>
            </w:r>
          </w:p>
        </w:tc>
        <w:tc>
          <w:tcPr>
            <w:tcW w:w="400" w:type="pct"/>
            <w:tcBorders>
              <w:top w:val="nil"/>
              <w:left w:val="nil"/>
              <w:bottom w:val="nil"/>
              <w:right w:val="nil"/>
            </w:tcBorders>
            <w:shd w:val="clear" w:color="000000" w:fill="DDEFC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24%</w:t>
            </w:r>
          </w:p>
        </w:tc>
        <w:tc>
          <w:tcPr>
            <w:tcW w:w="434" w:type="pct"/>
            <w:tcBorders>
              <w:top w:val="nil"/>
              <w:left w:val="nil"/>
              <w:bottom w:val="nil"/>
              <w:right w:val="nil"/>
            </w:tcBorders>
            <w:shd w:val="clear" w:color="000000" w:fill="CDE7A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36%</w:t>
            </w:r>
          </w:p>
        </w:tc>
        <w:tc>
          <w:tcPr>
            <w:tcW w:w="434" w:type="pct"/>
            <w:tcBorders>
              <w:top w:val="nil"/>
              <w:left w:val="nil"/>
              <w:bottom w:val="nil"/>
              <w:right w:val="nil"/>
            </w:tcBorders>
            <w:shd w:val="clear" w:color="000000" w:fill="E5F3D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19%</w:t>
            </w:r>
          </w:p>
        </w:tc>
        <w:tc>
          <w:tcPr>
            <w:tcW w:w="367" w:type="pct"/>
            <w:tcBorders>
              <w:top w:val="nil"/>
              <w:left w:val="nil"/>
              <w:bottom w:val="nil"/>
              <w:right w:val="nil"/>
            </w:tcBorders>
            <w:shd w:val="clear" w:color="000000" w:fill="D3EAB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31%</w:t>
            </w:r>
          </w:p>
        </w:tc>
        <w:tc>
          <w:tcPr>
            <w:tcW w:w="434" w:type="pct"/>
            <w:tcBorders>
              <w:top w:val="nil"/>
              <w:left w:val="nil"/>
              <w:bottom w:val="nil"/>
              <w:right w:val="nil"/>
            </w:tcBorders>
            <w:shd w:val="clear" w:color="000000" w:fill="CCE7A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36%</w:t>
            </w:r>
          </w:p>
        </w:tc>
        <w:tc>
          <w:tcPr>
            <w:tcW w:w="432" w:type="pct"/>
            <w:tcBorders>
              <w:top w:val="nil"/>
              <w:left w:val="nil"/>
              <w:bottom w:val="nil"/>
              <w:right w:val="nil"/>
            </w:tcBorders>
            <w:shd w:val="clear" w:color="000000" w:fill="D2EAB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32%</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Personality type</w:t>
            </w:r>
          </w:p>
        </w:tc>
        <w:tc>
          <w:tcPr>
            <w:tcW w:w="400" w:type="pct"/>
            <w:tcBorders>
              <w:top w:val="nil"/>
              <w:left w:val="nil"/>
              <w:bottom w:val="nil"/>
              <w:right w:val="nil"/>
            </w:tcBorders>
            <w:shd w:val="clear" w:color="000000" w:fill="D6ECB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29%</w:t>
            </w:r>
          </w:p>
        </w:tc>
        <w:tc>
          <w:tcPr>
            <w:tcW w:w="300" w:type="pct"/>
            <w:tcBorders>
              <w:top w:val="nil"/>
              <w:left w:val="nil"/>
              <w:bottom w:val="nil"/>
              <w:right w:val="nil"/>
            </w:tcBorders>
            <w:shd w:val="clear" w:color="000000" w:fill="EBF6D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14%</w:t>
            </w:r>
          </w:p>
        </w:tc>
        <w:tc>
          <w:tcPr>
            <w:tcW w:w="399" w:type="pct"/>
            <w:tcBorders>
              <w:top w:val="nil"/>
              <w:left w:val="nil"/>
              <w:bottom w:val="nil"/>
              <w:right w:val="nil"/>
            </w:tcBorders>
            <w:shd w:val="clear" w:color="000000" w:fill="D7ECB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29%</w:t>
            </w:r>
          </w:p>
        </w:tc>
        <w:tc>
          <w:tcPr>
            <w:tcW w:w="400" w:type="pct"/>
            <w:tcBorders>
              <w:top w:val="nil"/>
              <w:left w:val="nil"/>
              <w:bottom w:val="nil"/>
              <w:right w:val="nil"/>
            </w:tcBorders>
            <w:shd w:val="clear" w:color="000000" w:fill="DCEEC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25%</w:t>
            </w:r>
          </w:p>
        </w:tc>
        <w:tc>
          <w:tcPr>
            <w:tcW w:w="367" w:type="pct"/>
            <w:tcBorders>
              <w:top w:val="nil"/>
              <w:left w:val="nil"/>
              <w:bottom w:val="nil"/>
              <w:right w:val="nil"/>
            </w:tcBorders>
            <w:shd w:val="clear" w:color="000000" w:fill="D5EBB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30%</w:t>
            </w:r>
          </w:p>
        </w:tc>
        <w:tc>
          <w:tcPr>
            <w:tcW w:w="400" w:type="pct"/>
            <w:tcBorders>
              <w:top w:val="nil"/>
              <w:left w:val="nil"/>
              <w:bottom w:val="nil"/>
              <w:right w:val="nil"/>
            </w:tcBorders>
            <w:shd w:val="clear" w:color="000000" w:fill="D3EAB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31%</w:t>
            </w:r>
          </w:p>
        </w:tc>
        <w:tc>
          <w:tcPr>
            <w:tcW w:w="434" w:type="pct"/>
            <w:tcBorders>
              <w:top w:val="nil"/>
              <w:left w:val="nil"/>
              <w:bottom w:val="nil"/>
              <w:right w:val="nil"/>
            </w:tcBorders>
            <w:shd w:val="clear" w:color="000000" w:fill="D5EBB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30%</w:t>
            </w:r>
          </w:p>
        </w:tc>
        <w:tc>
          <w:tcPr>
            <w:tcW w:w="434" w:type="pct"/>
            <w:tcBorders>
              <w:top w:val="nil"/>
              <w:left w:val="nil"/>
              <w:bottom w:val="nil"/>
              <w:right w:val="nil"/>
            </w:tcBorders>
            <w:shd w:val="clear" w:color="000000" w:fill="E1F1C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22%</w:t>
            </w:r>
          </w:p>
        </w:tc>
        <w:tc>
          <w:tcPr>
            <w:tcW w:w="367" w:type="pct"/>
            <w:tcBorders>
              <w:top w:val="nil"/>
              <w:left w:val="nil"/>
              <w:bottom w:val="nil"/>
              <w:right w:val="nil"/>
            </w:tcBorders>
            <w:shd w:val="clear" w:color="000000" w:fill="D6ECB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29%</w:t>
            </w:r>
          </w:p>
        </w:tc>
        <w:tc>
          <w:tcPr>
            <w:tcW w:w="434" w:type="pct"/>
            <w:tcBorders>
              <w:top w:val="nil"/>
              <w:left w:val="nil"/>
              <w:bottom w:val="nil"/>
              <w:right w:val="nil"/>
            </w:tcBorders>
            <w:shd w:val="clear" w:color="000000" w:fill="D2EAB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32%</w:t>
            </w:r>
          </w:p>
        </w:tc>
        <w:tc>
          <w:tcPr>
            <w:tcW w:w="432" w:type="pct"/>
            <w:tcBorders>
              <w:top w:val="nil"/>
              <w:left w:val="nil"/>
              <w:bottom w:val="nil"/>
              <w:right w:val="nil"/>
            </w:tcBorders>
            <w:shd w:val="clear" w:color="000000" w:fill="D9EDC1"/>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27%</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Criminal background</w:t>
            </w:r>
          </w:p>
        </w:tc>
        <w:tc>
          <w:tcPr>
            <w:tcW w:w="400" w:type="pct"/>
            <w:tcBorders>
              <w:top w:val="nil"/>
              <w:left w:val="nil"/>
              <w:bottom w:val="nil"/>
              <w:right w:val="nil"/>
            </w:tcBorders>
            <w:shd w:val="clear" w:color="000000" w:fill="E0F0C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22%</w:t>
            </w:r>
          </w:p>
        </w:tc>
        <w:tc>
          <w:tcPr>
            <w:tcW w:w="300" w:type="pct"/>
            <w:tcBorders>
              <w:top w:val="nil"/>
              <w:left w:val="nil"/>
              <w:bottom w:val="nil"/>
              <w:right w:val="nil"/>
            </w:tcBorders>
            <w:shd w:val="clear" w:color="000000" w:fill="F4FAE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w:t>
            </w:r>
          </w:p>
        </w:tc>
        <w:tc>
          <w:tcPr>
            <w:tcW w:w="399" w:type="pct"/>
            <w:tcBorders>
              <w:top w:val="nil"/>
              <w:left w:val="nil"/>
              <w:bottom w:val="nil"/>
              <w:right w:val="nil"/>
            </w:tcBorders>
            <w:shd w:val="clear" w:color="000000" w:fill="F3F9E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9%</w:t>
            </w:r>
          </w:p>
        </w:tc>
        <w:tc>
          <w:tcPr>
            <w:tcW w:w="400" w:type="pct"/>
            <w:tcBorders>
              <w:top w:val="nil"/>
              <w:left w:val="nil"/>
              <w:bottom w:val="nil"/>
              <w:right w:val="nil"/>
            </w:tcBorders>
            <w:shd w:val="clear" w:color="000000" w:fill="ECF6D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14%</w:t>
            </w:r>
          </w:p>
        </w:tc>
        <w:tc>
          <w:tcPr>
            <w:tcW w:w="367" w:type="pct"/>
            <w:tcBorders>
              <w:top w:val="nil"/>
              <w:left w:val="nil"/>
              <w:bottom w:val="nil"/>
              <w:right w:val="nil"/>
            </w:tcBorders>
            <w:shd w:val="clear" w:color="000000" w:fill="EAF5D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15%</w:t>
            </w:r>
          </w:p>
        </w:tc>
        <w:tc>
          <w:tcPr>
            <w:tcW w:w="400" w:type="pct"/>
            <w:tcBorders>
              <w:top w:val="nil"/>
              <w:left w:val="nil"/>
              <w:bottom w:val="nil"/>
              <w:right w:val="nil"/>
            </w:tcBorders>
            <w:shd w:val="clear" w:color="000000" w:fill="E6F3D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18%</w:t>
            </w:r>
          </w:p>
        </w:tc>
        <w:tc>
          <w:tcPr>
            <w:tcW w:w="434" w:type="pct"/>
            <w:tcBorders>
              <w:top w:val="nil"/>
              <w:left w:val="nil"/>
              <w:bottom w:val="nil"/>
              <w:right w:val="nil"/>
            </w:tcBorders>
            <w:shd w:val="clear" w:color="000000" w:fill="DEEFC8"/>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24%</w:t>
            </w:r>
          </w:p>
        </w:tc>
        <w:tc>
          <w:tcPr>
            <w:tcW w:w="434" w:type="pct"/>
            <w:tcBorders>
              <w:top w:val="nil"/>
              <w:left w:val="nil"/>
              <w:bottom w:val="nil"/>
              <w:right w:val="nil"/>
            </w:tcBorders>
            <w:shd w:val="clear" w:color="000000" w:fill="F0F8E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11%</w:t>
            </w:r>
          </w:p>
        </w:tc>
        <w:tc>
          <w:tcPr>
            <w:tcW w:w="367" w:type="pct"/>
            <w:tcBorders>
              <w:top w:val="nil"/>
              <w:left w:val="nil"/>
              <w:bottom w:val="nil"/>
              <w:right w:val="nil"/>
            </w:tcBorders>
            <w:shd w:val="clear" w:color="000000" w:fill="E2F1C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21%</w:t>
            </w:r>
          </w:p>
        </w:tc>
        <w:tc>
          <w:tcPr>
            <w:tcW w:w="434" w:type="pct"/>
            <w:tcBorders>
              <w:top w:val="nil"/>
              <w:left w:val="nil"/>
              <w:bottom w:val="nil"/>
              <w:right w:val="nil"/>
            </w:tcBorders>
            <w:shd w:val="clear" w:color="000000" w:fill="E8F4D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16%</w:t>
            </w:r>
          </w:p>
        </w:tc>
        <w:tc>
          <w:tcPr>
            <w:tcW w:w="432" w:type="pct"/>
            <w:tcBorders>
              <w:top w:val="nil"/>
              <w:left w:val="nil"/>
              <w:bottom w:val="nil"/>
              <w:right w:val="nil"/>
            </w:tcBorders>
            <w:shd w:val="clear" w:color="000000" w:fill="E9F5D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16%</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Not applicable</w:t>
            </w:r>
          </w:p>
        </w:tc>
        <w:tc>
          <w:tcPr>
            <w:tcW w:w="400" w:type="pct"/>
            <w:tcBorders>
              <w:top w:val="nil"/>
              <w:left w:val="nil"/>
              <w:bottom w:val="nil"/>
              <w:right w:val="nil"/>
            </w:tcBorders>
            <w:shd w:val="clear" w:color="000000" w:fill="FFFFF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0%</w:t>
            </w:r>
          </w:p>
        </w:tc>
        <w:tc>
          <w:tcPr>
            <w:tcW w:w="300" w:type="pct"/>
            <w:tcBorders>
              <w:top w:val="nil"/>
              <w:left w:val="nil"/>
              <w:bottom w:val="nil"/>
              <w:right w:val="nil"/>
            </w:tcBorders>
            <w:shd w:val="clear" w:color="000000" w:fill="FDFEF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399" w:type="pct"/>
            <w:tcBorders>
              <w:top w:val="nil"/>
              <w:left w:val="nil"/>
              <w:bottom w:val="nil"/>
              <w:right w:val="nil"/>
            </w:tcBorders>
            <w:shd w:val="clear" w:color="000000" w:fill="FDFEF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400" w:type="pct"/>
            <w:tcBorders>
              <w:top w:val="nil"/>
              <w:left w:val="nil"/>
              <w:bottom w:val="nil"/>
              <w:right w:val="nil"/>
            </w:tcBorders>
            <w:shd w:val="clear" w:color="000000" w:fill="FCFEF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367" w:type="pct"/>
            <w:tcBorders>
              <w:top w:val="nil"/>
              <w:left w:val="nil"/>
              <w:bottom w:val="nil"/>
              <w:right w:val="nil"/>
            </w:tcBorders>
            <w:shd w:val="clear" w:color="000000" w:fill="FFFFFE"/>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w:t>
            </w:r>
          </w:p>
        </w:tc>
        <w:tc>
          <w:tcPr>
            <w:tcW w:w="400" w:type="pct"/>
            <w:tcBorders>
              <w:top w:val="nil"/>
              <w:left w:val="nil"/>
              <w:bottom w:val="nil"/>
              <w:right w:val="nil"/>
            </w:tcBorders>
            <w:shd w:val="clear" w:color="000000" w:fill="F4FAE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w:t>
            </w:r>
          </w:p>
        </w:tc>
        <w:tc>
          <w:tcPr>
            <w:tcW w:w="434" w:type="pct"/>
            <w:tcBorders>
              <w:top w:val="nil"/>
              <w:left w:val="nil"/>
              <w:bottom w:val="nil"/>
              <w:right w:val="nil"/>
            </w:tcBorders>
            <w:shd w:val="clear" w:color="000000" w:fill="FAFDF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w:t>
            </w:r>
          </w:p>
        </w:tc>
        <w:tc>
          <w:tcPr>
            <w:tcW w:w="434" w:type="pct"/>
            <w:tcBorders>
              <w:top w:val="nil"/>
              <w:left w:val="nil"/>
              <w:bottom w:val="nil"/>
              <w:right w:val="nil"/>
            </w:tcBorders>
            <w:shd w:val="clear" w:color="000000" w:fill="F0F8E6"/>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11%</w:t>
            </w:r>
          </w:p>
        </w:tc>
        <w:tc>
          <w:tcPr>
            <w:tcW w:w="367" w:type="pct"/>
            <w:tcBorders>
              <w:top w:val="nil"/>
              <w:left w:val="nil"/>
              <w:bottom w:val="nil"/>
              <w:right w:val="nil"/>
            </w:tcBorders>
            <w:shd w:val="clear" w:color="000000" w:fill="F4FAEC"/>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8%</w:t>
            </w:r>
          </w:p>
        </w:tc>
        <w:tc>
          <w:tcPr>
            <w:tcW w:w="434" w:type="pct"/>
            <w:tcBorders>
              <w:top w:val="nil"/>
              <w:left w:val="nil"/>
              <w:bottom w:val="nil"/>
              <w:right w:val="nil"/>
            </w:tcBorders>
            <w:shd w:val="clear" w:color="000000" w:fill="FAFDF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4%</w:t>
            </w:r>
          </w:p>
        </w:tc>
        <w:tc>
          <w:tcPr>
            <w:tcW w:w="432" w:type="pct"/>
            <w:tcBorders>
              <w:top w:val="nil"/>
              <w:left w:val="nil"/>
              <w:bottom w:val="nil"/>
              <w:right w:val="nil"/>
            </w:tcBorders>
            <w:shd w:val="clear" w:color="000000" w:fill="F8FCF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Other - Write In</w:t>
            </w:r>
          </w:p>
        </w:tc>
        <w:tc>
          <w:tcPr>
            <w:tcW w:w="400" w:type="pct"/>
            <w:tcBorders>
              <w:top w:val="nil"/>
              <w:left w:val="nil"/>
              <w:bottom w:val="nil"/>
              <w:right w:val="nil"/>
            </w:tcBorders>
            <w:shd w:val="clear" w:color="000000" w:fill="F6FBF0"/>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7%</w:t>
            </w:r>
          </w:p>
        </w:tc>
        <w:tc>
          <w:tcPr>
            <w:tcW w:w="300" w:type="pct"/>
            <w:tcBorders>
              <w:top w:val="nil"/>
              <w:left w:val="nil"/>
              <w:bottom w:val="nil"/>
              <w:right w:val="nil"/>
            </w:tcBorders>
            <w:shd w:val="clear" w:color="000000" w:fill="F8FCF4"/>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c>
          <w:tcPr>
            <w:tcW w:w="399" w:type="pct"/>
            <w:tcBorders>
              <w:top w:val="nil"/>
              <w:left w:val="nil"/>
              <w:bottom w:val="nil"/>
              <w:right w:val="nil"/>
            </w:tcBorders>
            <w:shd w:val="clear" w:color="000000" w:fill="F8FCF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c>
          <w:tcPr>
            <w:tcW w:w="400" w:type="pct"/>
            <w:tcBorders>
              <w:top w:val="nil"/>
              <w:left w:val="nil"/>
              <w:bottom w:val="nil"/>
              <w:right w:val="nil"/>
            </w:tcBorders>
            <w:shd w:val="clear" w:color="000000" w:fill="F9FCF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c>
          <w:tcPr>
            <w:tcW w:w="367" w:type="pct"/>
            <w:tcBorders>
              <w:top w:val="nil"/>
              <w:left w:val="nil"/>
              <w:bottom w:val="nil"/>
              <w:right w:val="nil"/>
            </w:tcBorders>
            <w:shd w:val="clear" w:color="000000" w:fill="FCFEF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400" w:type="pct"/>
            <w:tcBorders>
              <w:top w:val="nil"/>
              <w:left w:val="nil"/>
              <w:bottom w:val="nil"/>
              <w:right w:val="nil"/>
            </w:tcBorders>
            <w:shd w:val="clear" w:color="000000" w:fill="FCFEF9"/>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w:t>
            </w:r>
          </w:p>
        </w:tc>
        <w:tc>
          <w:tcPr>
            <w:tcW w:w="434" w:type="pct"/>
            <w:tcBorders>
              <w:top w:val="nil"/>
              <w:left w:val="nil"/>
              <w:bottom w:val="nil"/>
              <w:right w:val="nil"/>
            </w:tcBorders>
            <w:shd w:val="clear" w:color="000000" w:fill="FCFEF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434" w:type="pct"/>
            <w:tcBorders>
              <w:top w:val="nil"/>
              <w:left w:val="nil"/>
              <w:bottom w:val="nil"/>
              <w:right w:val="nil"/>
            </w:tcBorders>
            <w:shd w:val="clear" w:color="000000" w:fill="FFFFF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0%</w:t>
            </w:r>
          </w:p>
        </w:tc>
        <w:tc>
          <w:tcPr>
            <w:tcW w:w="367" w:type="pct"/>
            <w:tcBorders>
              <w:top w:val="nil"/>
              <w:left w:val="nil"/>
              <w:bottom w:val="nil"/>
              <w:right w:val="nil"/>
            </w:tcBorders>
            <w:shd w:val="clear" w:color="000000" w:fill="FDFEF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434" w:type="pct"/>
            <w:tcBorders>
              <w:top w:val="nil"/>
              <w:left w:val="nil"/>
              <w:bottom w:val="nil"/>
              <w:right w:val="nil"/>
            </w:tcBorders>
            <w:shd w:val="clear" w:color="000000" w:fill="F9FCF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c>
          <w:tcPr>
            <w:tcW w:w="432" w:type="pct"/>
            <w:tcBorders>
              <w:top w:val="nil"/>
              <w:left w:val="nil"/>
              <w:bottom w:val="nil"/>
              <w:right w:val="nil"/>
            </w:tcBorders>
            <w:shd w:val="clear" w:color="000000" w:fill="F9FCF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r>
      <w:tr w:rsidR="00B161A3" w:rsidRPr="00204426" w:rsidTr="00B161A3">
        <w:trPr>
          <w:trHeight w:val="300"/>
        </w:trPr>
        <w:tc>
          <w:tcPr>
            <w:tcW w:w="633" w:type="pct"/>
            <w:tcBorders>
              <w:top w:val="nil"/>
              <w:left w:val="nil"/>
              <w:bottom w:val="nil"/>
              <w:right w:val="nil"/>
            </w:tcBorders>
            <w:shd w:val="clear" w:color="auto" w:fill="auto"/>
            <w:noWrap/>
            <w:vAlign w:val="bottom"/>
            <w:hideMark/>
          </w:tcPr>
          <w:p w:rsidR="00B161A3"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Unsure/</w:t>
            </w:r>
          </w:p>
          <w:p w:rsidR="00B161A3" w:rsidRPr="00204426" w:rsidRDefault="00B161A3" w:rsidP="00B161A3">
            <w:pPr>
              <w:spacing w:after="0" w:line="240" w:lineRule="auto"/>
              <w:rPr>
                <w:rFonts w:ascii="Calibri" w:eastAsia="Times New Roman" w:hAnsi="Calibri" w:cs="Times New Roman"/>
                <w:color w:val="000000"/>
              </w:rPr>
            </w:pPr>
            <w:r w:rsidRPr="00204426">
              <w:rPr>
                <w:rFonts w:ascii="Calibri" w:eastAsia="Times New Roman" w:hAnsi="Calibri" w:cs="Times New Roman"/>
                <w:color w:val="000000"/>
              </w:rPr>
              <w:t>don't know</w:t>
            </w:r>
          </w:p>
        </w:tc>
        <w:tc>
          <w:tcPr>
            <w:tcW w:w="400" w:type="pct"/>
            <w:tcBorders>
              <w:top w:val="nil"/>
              <w:left w:val="nil"/>
              <w:bottom w:val="nil"/>
              <w:right w:val="nil"/>
            </w:tcBorders>
            <w:shd w:val="clear" w:color="000000" w:fill="FCFEFA"/>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300" w:type="pct"/>
            <w:tcBorders>
              <w:top w:val="nil"/>
              <w:left w:val="nil"/>
              <w:bottom w:val="nil"/>
              <w:right w:val="nil"/>
            </w:tcBorders>
            <w:shd w:val="clear" w:color="000000" w:fill="FFFFF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0%</w:t>
            </w:r>
          </w:p>
        </w:tc>
        <w:tc>
          <w:tcPr>
            <w:tcW w:w="399" w:type="pct"/>
            <w:tcBorders>
              <w:top w:val="nil"/>
              <w:left w:val="nil"/>
              <w:bottom w:val="nil"/>
              <w:right w:val="nil"/>
            </w:tcBorders>
            <w:shd w:val="clear" w:color="000000" w:fill="FDFEF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400" w:type="pct"/>
            <w:tcBorders>
              <w:top w:val="nil"/>
              <w:left w:val="nil"/>
              <w:bottom w:val="nil"/>
              <w:right w:val="nil"/>
            </w:tcBorders>
            <w:shd w:val="clear" w:color="000000" w:fill="FBFDF7"/>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3%</w:t>
            </w:r>
          </w:p>
        </w:tc>
        <w:tc>
          <w:tcPr>
            <w:tcW w:w="367" w:type="pct"/>
            <w:tcBorders>
              <w:top w:val="nil"/>
              <w:left w:val="nil"/>
              <w:bottom w:val="nil"/>
              <w:right w:val="nil"/>
            </w:tcBorders>
            <w:shd w:val="clear" w:color="000000" w:fill="FFFFFF"/>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0%</w:t>
            </w:r>
          </w:p>
        </w:tc>
        <w:tc>
          <w:tcPr>
            <w:tcW w:w="400" w:type="pct"/>
            <w:tcBorders>
              <w:top w:val="nil"/>
              <w:left w:val="nil"/>
              <w:bottom w:val="nil"/>
              <w:right w:val="nil"/>
            </w:tcBorders>
            <w:shd w:val="clear" w:color="000000" w:fill="F8FCF3"/>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c>
          <w:tcPr>
            <w:tcW w:w="434" w:type="pct"/>
            <w:tcBorders>
              <w:top w:val="nil"/>
              <w:left w:val="nil"/>
              <w:bottom w:val="nil"/>
              <w:right w:val="nil"/>
            </w:tcBorders>
            <w:shd w:val="clear" w:color="000000" w:fill="FEFFF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w:t>
            </w:r>
          </w:p>
        </w:tc>
        <w:tc>
          <w:tcPr>
            <w:tcW w:w="434" w:type="pct"/>
            <w:tcBorders>
              <w:top w:val="nil"/>
              <w:left w:val="nil"/>
              <w:bottom w:val="nil"/>
              <w:right w:val="nil"/>
            </w:tcBorders>
            <w:shd w:val="clear" w:color="000000" w:fill="ECF6E0"/>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14%</w:t>
            </w:r>
          </w:p>
        </w:tc>
        <w:tc>
          <w:tcPr>
            <w:tcW w:w="367" w:type="pct"/>
            <w:tcBorders>
              <w:top w:val="nil"/>
              <w:left w:val="nil"/>
              <w:bottom w:val="nil"/>
              <w:right w:val="nil"/>
            </w:tcBorders>
            <w:shd w:val="clear" w:color="000000" w:fill="FDFEFB"/>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2%</w:t>
            </w:r>
          </w:p>
        </w:tc>
        <w:tc>
          <w:tcPr>
            <w:tcW w:w="434" w:type="pct"/>
            <w:tcBorders>
              <w:top w:val="nil"/>
              <w:left w:val="nil"/>
              <w:bottom w:val="nil"/>
              <w:right w:val="nil"/>
            </w:tcBorders>
            <w:shd w:val="clear" w:color="000000" w:fill="FEFFFD"/>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1%</w:t>
            </w:r>
          </w:p>
        </w:tc>
        <w:tc>
          <w:tcPr>
            <w:tcW w:w="432" w:type="pct"/>
            <w:tcBorders>
              <w:top w:val="nil"/>
              <w:left w:val="nil"/>
              <w:bottom w:val="nil"/>
              <w:right w:val="nil"/>
            </w:tcBorders>
            <w:shd w:val="clear" w:color="000000" w:fill="F9FCF5"/>
            <w:noWrap/>
            <w:vAlign w:val="center"/>
            <w:hideMark/>
          </w:tcPr>
          <w:p w:rsidR="00B161A3" w:rsidRPr="00204426" w:rsidRDefault="00B161A3" w:rsidP="00B161A3">
            <w:pPr>
              <w:spacing w:after="0" w:line="240" w:lineRule="auto"/>
              <w:jc w:val="center"/>
              <w:rPr>
                <w:rFonts w:ascii="Calibri" w:eastAsia="Times New Roman" w:hAnsi="Calibri" w:cs="Times New Roman"/>
                <w:color w:val="000000"/>
              </w:rPr>
            </w:pPr>
            <w:r w:rsidRPr="00204426">
              <w:rPr>
                <w:rFonts w:ascii="Calibri" w:eastAsia="Times New Roman" w:hAnsi="Calibri" w:cs="Times New Roman"/>
                <w:color w:val="000000"/>
              </w:rPr>
              <w:t>5%</w:t>
            </w:r>
          </w:p>
        </w:tc>
      </w:tr>
    </w:tbl>
    <w:p w:rsidR="00B161A3" w:rsidRDefault="00B161A3">
      <w:pPr>
        <w:rPr>
          <w:rFonts w:asciiTheme="majorHAnsi" w:eastAsiaTheme="majorEastAsia" w:hAnsiTheme="majorHAnsi" w:cstheme="majorBidi"/>
          <w:color w:val="404040" w:themeColor="text1" w:themeTint="BF"/>
          <w:sz w:val="32"/>
          <w:szCs w:val="32"/>
        </w:rPr>
      </w:pPr>
      <w:r>
        <w:br w:type="page"/>
      </w:r>
    </w:p>
    <w:p w:rsidR="001577E1" w:rsidRPr="001577E1" w:rsidRDefault="001577E1" w:rsidP="001577E1">
      <w:pPr>
        <w:pStyle w:val="Heading1"/>
      </w:pPr>
      <w:r w:rsidRPr="001577E1">
        <w:lastRenderedPageBreak/>
        <w:t>Do employers have diverse workforces?</w:t>
      </w:r>
    </w:p>
    <w:p w:rsidR="007C4978" w:rsidRDefault="006F4BAB" w:rsidP="007C4978">
      <w:r>
        <w:rPr>
          <w:b/>
        </w:rPr>
        <w:t>71 percent</w:t>
      </w:r>
      <w:r w:rsidR="007C4978" w:rsidRPr="00446C84">
        <w:rPr>
          <w:b/>
        </w:rPr>
        <w:t xml:space="preserve"> of employers report having a diverse workforce</w:t>
      </w:r>
      <w:r w:rsidR="007C4978">
        <w:t>, according to their own definition of diversity that they reported above.</w:t>
      </w:r>
    </w:p>
    <w:p w:rsidR="00F75741" w:rsidRPr="001577E1" w:rsidRDefault="006F4BAB" w:rsidP="007C4978">
      <w:r w:rsidRPr="00957C2E">
        <w:rPr>
          <w:b/>
        </w:rPr>
        <w:t>Just 21 percent</w:t>
      </w:r>
      <w:r w:rsidR="004B14EA" w:rsidRPr="00957C2E">
        <w:rPr>
          <w:b/>
        </w:rPr>
        <w:t xml:space="preserve"> of employers report that everyone in their workforce identifies as</w:t>
      </w:r>
      <w:r w:rsidR="00FC1934" w:rsidRPr="00957C2E">
        <w:rPr>
          <w:b/>
        </w:rPr>
        <w:t xml:space="preserve"> non-Hispanic white</w:t>
      </w:r>
      <w:r w:rsidR="004B14EA" w:rsidRPr="00957C2E">
        <w:rPr>
          <w:b/>
        </w:rPr>
        <w:t>. Among these employers</w:t>
      </w:r>
      <w:r w:rsidR="007C4978" w:rsidRPr="00957C2E">
        <w:rPr>
          <w:b/>
        </w:rPr>
        <w:t>,</w:t>
      </w:r>
      <w:r w:rsidR="007C4978">
        <w:t xml:space="preserve"> </w:t>
      </w:r>
      <w:r>
        <w:rPr>
          <w:b/>
        </w:rPr>
        <w:t>43 percent</w:t>
      </w:r>
      <w:r w:rsidR="007C4978" w:rsidRPr="004B14EA">
        <w:rPr>
          <w:b/>
        </w:rPr>
        <w:t xml:space="preserve"> report having a diverse workforce</w:t>
      </w:r>
      <w:r w:rsidR="007C4978" w:rsidRPr="00781C86">
        <w:rPr>
          <w:b/>
        </w:rPr>
        <w:t xml:space="preserve"> according to their own definition of diversity</w:t>
      </w:r>
      <w:r w:rsidR="007C4978">
        <w:t>.</w:t>
      </w:r>
      <w:r w:rsidR="004B14EA">
        <w:t xml:space="preserve"> </w:t>
      </w:r>
      <w:r w:rsidR="00D04A13">
        <w:t xml:space="preserve">So while race/ethnicity is the most common factor included in Minnesota employers’ definitions of diversity, many </w:t>
      </w:r>
      <w:r w:rsidR="00171BB3">
        <w:t>employers recognize</w:t>
      </w:r>
      <w:r w:rsidR="00D04A13">
        <w:t xml:space="preserve"> diversity in their workforce based on other factors as well.</w:t>
      </w:r>
    </w:p>
    <w:p w:rsidR="00957C2E" w:rsidRDefault="00957C2E" w:rsidP="007C4978">
      <w:r>
        <w:t xml:space="preserve">In a largely white state like Minnesota, </w:t>
      </w:r>
      <w:r w:rsidR="00200D63" w:rsidRPr="00200D63">
        <w:rPr>
          <w:i/>
        </w:rPr>
        <w:t>racial</w:t>
      </w:r>
      <w:r w:rsidR="00D04A13" w:rsidRPr="00200D63">
        <w:rPr>
          <w:i/>
        </w:rPr>
        <w:t xml:space="preserve"> diversity</w:t>
      </w:r>
      <w:r w:rsidR="00D04A13">
        <w:t xml:space="preserve"> is constrained by the diversity </w:t>
      </w:r>
      <w:r w:rsidR="001577E1">
        <w:t>of available workers in the area.</w:t>
      </w:r>
      <w:r w:rsidR="00200D63">
        <w:t xml:space="preserve"> </w:t>
      </w:r>
      <w:r w:rsidR="00807887">
        <w:rPr>
          <w:b/>
        </w:rPr>
        <w:t>O</w:t>
      </w:r>
      <w:r w:rsidR="00781C86">
        <w:rPr>
          <w:b/>
        </w:rPr>
        <w:t>ver</w:t>
      </w:r>
      <w:r w:rsidR="00200D63" w:rsidRPr="00200D63">
        <w:rPr>
          <w:b/>
        </w:rPr>
        <w:t xml:space="preserve"> half of employers rate themselves equally or more racially diverse than </w:t>
      </w:r>
      <w:r w:rsidR="00807887" w:rsidRPr="00200D63">
        <w:rPr>
          <w:b/>
        </w:rPr>
        <w:t xml:space="preserve">their customers, community, or competitors </w:t>
      </w:r>
      <w:r w:rsidR="00200D63" w:rsidRPr="00200D63">
        <w:rPr>
          <w:b/>
        </w:rPr>
        <w:t>(</w:t>
      </w:r>
      <w:r w:rsidR="00781C86">
        <w:rPr>
          <w:b/>
        </w:rPr>
        <w:t>57</w:t>
      </w:r>
      <w:r w:rsidR="00200D63" w:rsidRPr="00200D63">
        <w:rPr>
          <w:b/>
        </w:rPr>
        <w:t xml:space="preserve">, </w:t>
      </w:r>
      <w:r w:rsidR="00781C86">
        <w:rPr>
          <w:b/>
        </w:rPr>
        <w:t>6</w:t>
      </w:r>
      <w:r w:rsidR="00200D63" w:rsidRPr="00200D63">
        <w:rPr>
          <w:b/>
        </w:rPr>
        <w:t xml:space="preserve">3 and </w:t>
      </w:r>
      <w:r w:rsidR="00781C86">
        <w:rPr>
          <w:b/>
        </w:rPr>
        <w:t>60</w:t>
      </w:r>
      <w:r w:rsidR="00200D63" w:rsidRPr="00200D63">
        <w:rPr>
          <w:b/>
        </w:rPr>
        <w:t xml:space="preserve"> percent, respectively).</w:t>
      </w:r>
      <w:r w:rsidR="009558B5">
        <w:t xml:space="preserve"> </w:t>
      </w:r>
    </w:p>
    <w:p w:rsidR="009C193C" w:rsidRPr="009C193C" w:rsidRDefault="007A2294" w:rsidP="002F7486">
      <w:r>
        <w:rPr>
          <w:noProof/>
        </w:rPr>
        <w:drawing>
          <wp:anchor distT="0" distB="0" distL="114300" distR="114300" simplePos="0" relativeHeight="251759616" behindDoc="0" locked="0" layoutInCell="1" allowOverlap="1">
            <wp:simplePos x="0" y="0"/>
            <wp:positionH relativeFrom="column">
              <wp:posOffset>4876800</wp:posOffset>
            </wp:positionH>
            <wp:positionV relativeFrom="paragraph">
              <wp:posOffset>57150</wp:posOffset>
            </wp:positionV>
            <wp:extent cx="3381375" cy="3838575"/>
            <wp:effectExtent l="0" t="0" r="9525" b="9525"/>
            <wp:wrapSquare wrapText="bothSides"/>
            <wp:docPr id="31" name="Picture 31" descr="S:\Groups\PPM\Employer Workforce Diversity\Employer Survey\Analysis\ACS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roups\PPM\Employer Workforce Diversity\Employer Survey\Analysis\ACSMap.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1375" cy="3838575"/>
                    </a:xfrm>
                    <a:prstGeom prst="rect">
                      <a:avLst/>
                    </a:prstGeom>
                    <a:noFill/>
                    <a:ln>
                      <a:noFill/>
                    </a:ln>
                  </pic:spPr>
                </pic:pic>
              </a:graphicData>
            </a:graphic>
          </wp:anchor>
        </w:drawing>
      </w:r>
      <w:r w:rsidR="009C193C">
        <w:t>Minnesota’s current labor force (those of working age who are either employed or unemployed) is 17 percent people of color</w:t>
      </w:r>
      <w:r>
        <w:t xml:space="preserve"> or American Indian</w:t>
      </w:r>
      <w:r w:rsidR="009C193C">
        <w:t xml:space="preserve">, but this figure varies widely by region. </w:t>
      </w:r>
      <w:r w:rsidR="009C193C" w:rsidRPr="002F7486">
        <w:rPr>
          <w:b/>
        </w:rPr>
        <w:t>Communities of color are most concentrated in the Twin Cities region, at 24 percent, and least concentrated in Northeast Minne</w:t>
      </w:r>
      <w:r w:rsidR="002F7486" w:rsidRPr="002F7486">
        <w:rPr>
          <w:b/>
        </w:rPr>
        <w:t>sota, at seven percent (</w:t>
      </w:r>
      <w:r w:rsidR="002F7486" w:rsidRPr="007A2294">
        <w:rPr>
          <w:b/>
        </w:rPr>
        <w:t>Figure 4</w:t>
      </w:r>
      <w:r w:rsidR="009C193C" w:rsidRPr="002F7486">
        <w:rPr>
          <w:b/>
        </w:rPr>
        <w:t>).</w:t>
      </w:r>
      <w:r w:rsidR="009C193C">
        <w:t xml:space="preserve"> Rates across the five Greater Minnesota regions are fairly similar, especially in co</w:t>
      </w:r>
      <w:r w:rsidR="00043B93">
        <w:t xml:space="preserve">mparison with the Twin Cities. </w:t>
      </w:r>
    </w:p>
    <w:p w:rsidR="001E468A" w:rsidRDefault="00523E14" w:rsidP="009C193C">
      <w:r>
        <w:rPr>
          <w:noProof/>
        </w:rPr>
        <mc:AlternateContent>
          <mc:Choice Requires="wps">
            <w:drawing>
              <wp:anchor distT="45720" distB="45720" distL="114300" distR="114300" simplePos="0" relativeHeight="251754496" behindDoc="0" locked="0" layoutInCell="1" allowOverlap="1" wp14:anchorId="5F6DBCAD" wp14:editId="0FEC27E5">
                <wp:simplePos x="0" y="0"/>
                <wp:positionH relativeFrom="margin">
                  <wp:align>right</wp:align>
                </wp:positionH>
                <wp:positionV relativeFrom="paragraph">
                  <wp:posOffset>2616835</wp:posOffset>
                </wp:positionV>
                <wp:extent cx="3145155" cy="257175"/>
                <wp:effectExtent l="0" t="0" r="0" b="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257175"/>
                        </a:xfrm>
                        <a:prstGeom prst="rect">
                          <a:avLst/>
                        </a:prstGeom>
                        <a:noFill/>
                        <a:ln w="9525">
                          <a:noFill/>
                          <a:miter lim="800000"/>
                          <a:headEnd/>
                          <a:tailEnd/>
                        </a:ln>
                      </wps:spPr>
                      <wps:txbx>
                        <w:txbxContent>
                          <w:p w:rsidR="00523E14" w:rsidRPr="00EC4940" w:rsidRDefault="00523E14" w:rsidP="00523E14">
                            <w:pPr>
                              <w:rPr>
                                <w:i/>
                                <w:sz w:val="20"/>
                              </w:rPr>
                            </w:pPr>
                            <w:r>
                              <w:rPr>
                                <w:i/>
                                <w:sz w:val="20"/>
                              </w:rPr>
                              <w:t>Source: U.S. Census Bureau, American Community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DBCAD" id="_x0000_t202" coordsize="21600,21600" o:spt="202" path="m,l,21600r21600,l21600,xe">
                <v:stroke joinstyle="miter"/>
                <v:path gradientshapeok="t" o:connecttype="rect"/>
              </v:shapetype>
              <v:shape id="Text Box 2" o:spid="_x0000_s1026" type="#_x0000_t202" style="position:absolute;margin-left:196.45pt;margin-top:206.05pt;width:247.65pt;height:20.25pt;z-index:251754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" filled="f" stroked="f">
                <v:textbox>
                  <w:txbxContent>
                    <w:p w:rsidR="00523E14" w:rsidRPr="00EC4940" w:rsidRDefault="00523E14" w:rsidP="00523E14">
                      <w:pPr>
                        <w:rPr>
                          <w:i/>
                          <w:sz w:val="20"/>
                        </w:rPr>
                      </w:pPr>
                      <w:r>
                        <w:rPr>
                          <w:i/>
                          <w:sz w:val="20"/>
                        </w:rPr>
                        <w:t xml:space="preserve">Source: U.S. Census Bureau, </w:t>
                      </w:r>
                      <w:r>
                        <w:rPr>
                          <w:i/>
                          <w:sz w:val="20"/>
                        </w:rPr>
                        <w:t>American Community Survey</w:t>
                      </w:r>
                    </w:p>
                  </w:txbxContent>
                </v:textbox>
                <w10:wrap type="topAndBottom" anchorx="margin"/>
              </v:shape>
            </w:pict>
          </mc:Fallback>
        </mc:AlternateContent>
      </w:r>
      <w:r w:rsidR="00BB3550" w:rsidRPr="00BB3550">
        <w:rPr>
          <w:b/>
        </w:rPr>
        <w:t xml:space="preserve">Employer perceptions of their own diversity varies greatly by region, both with and without an external benchmark like the diversity of their community. </w:t>
      </w:r>
      <w:r w:rsidR="00BB3550">
        <w:t xml:space="preserve">Almost four in five </w:t>
      </w:r>
      <w:proofErr w:type="gramStart"/>
      <w:r w:rsidR="00BB3550">
        <w:t>Twin Cities</w:t>
      </w:r>
      <w:proofErr w:type="gramEnd"/>
      <w:r w:rsidR="00BB3550">
        <w:t xml:space="preserve"> employers rate themselves as diverse, according to </w:t>
      </w:r>
      <w:r w:rsidR="00BB3550" w:rsidRPr="006F4BAB">
        <w:t>their own definition</w:t>
      </w:r>
      <w:r w:rsidR="00BB3550">
        <w:t xml:space="preserve"> of diversity (which may include race, age, gender, and other factors). This is the highest of any </w:t>
      </w:r>
      <w:r w:rsidR="00BB3550" w:rsidRPr="00BA3392">
        <w:t xml:space="preserve">region (Figure </w:t>
      </w:r>
      <w:r w:rsidR="002F7486" w:rsidRPr="00BA3392">
        <w:t>5</w:t>
      </w:r>
      <w:r w:rsidR="00043B93" w:rsidRPr="00BA3392">
        <w:t>, next page</w:t>
      </w:r>
      <w:r w:rsidR="00BB3550" w:rsidRPr="00BA3392">
        <w:t xml:space="preserve">). In contrast, just three in five employers in Central Minnesota rate themselves as diverse. </w:t>
      </w:r>
    </w:p>
    <w:p w:rsidR="00115084" w:rsidRDefault="00BB3550" w:rsidP="009C193C">
      <w:r w:rsidRPr="00BA3392">
        <w:t xml:space="preserve">However, this pattern flips when employers report whether the racial diversity of their workforce matches or exceeds the diversity of their city or town: </w:t>
      </w:r>
      <w:proofErr w:type="gramStart"/>
      <w:r w:rsidRPr="00BA3392">
        <w:t>Twin Cities</w:t>
      </w:r>
      <w:proofErr w:type="gramEnd"/>
      <w:r w:rsidRPr="00BA3392">
        <w:t xml:space="preserve"> employers are the least likely to report being as diverse as their city or town (Figure </w:t>
      </w:r>
      <w:r w:rsidR="002F7486" w:rsidRPr="00BA3392">
        <w:t>6</w:t>
      </w:r>
      <w:r w:rsidR="00043B93" w:rsidRPr="00BA3392">
        <w:t>, next</w:t>
      </w:r>
      <w:r w:rsidR="00043B93">
        <w:t xml:space="preserve"> page</w:t>
      </w:r>
      <w:r>
        <w:t>).</w:t>
      </w:r>
      <w:r w:rsidRPr="00DD7E4A">
        <w:t xml:space="preserve"> </w:t>
      </w:r>
      <w:r w:rsidRPr="00043B93">
        <w:rPr>
          <w:b/>
        </w:rPr>
        <w:t>These results point to the importance of considering diversity, and especially racial diversity, in a local context.</w:t>
      </w:r>
      <w:r>
        <w:t xml:space="preserve"> </w:t>
      </w:r>
    </w:p>
    <w:p w:rsidR="009C193C" w:rsidRDefault="007A2294" w:rsidP="009C193C">
      <w:r>
        <w:rPr>
          <w:noProof/>
        </w:rPr>
        <w:lastRenderedPageBreak/>
        <w:drawing>
          <wp:anchor distT="0" distB="0" distL="114300" distR="114300" simplePos="0" relativeHeight="251760640" behindDoc="0" locked="0" layoutInCell="1" allowOverlap="1">
            <wp:simplePos x="0" y="0"/>
            <wp:positionH relativeFrom="column">
              <wp:posOffset>400050</wp:posOffset>
            </wp:positionH>
            <wp:positionV relativeFrom="paragraph">
              <wp:posOffset>9525</wp:posOffset>
            </wp:positionV>
            <wp:extent cx="3476625" cy="3933825"/>
            <wp:effectExtent l="0" t="0" r="9525" b="9525"/>
            <wp:wrapTopAndBottom/>
            <wp:docPr id="32" name="Picture 32" descr="S:\Groups\PPM\Employer Workforce Diversity\Employer Survey\Analysis\Q2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Groups\PPM\Employer Workforce Diversity\Employer Survey\Analysis\Q2Map.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6625" cy="3933825"/>
                    </a:xfrm>
                    <a:prstGeom prst="rect">
                      <a:avLst/>
                    </a:prstGeom>
                    <a:noFill/>
                    <a:ln>
                      <a:noFill/>
                    </a:ln>
                  </pic:spPr>
                </pic:pic>
              </a:graphicData>
            </a:graphic>
          </wp:anchor>
        </w:drawing>
      </w:r>
      <w:r>
        <w:rPr>
          <w:noProof/>
        </w:rPr>
        <w:drawing>
          <wp:anchor distT="0" distB="0" distL="114300" distR="114300" simplePos="0" relativeHeight="251761664" behindDoc="0" locked="0" layoutInCell="1" allowOverlap="1">
            <wp:simplePos x="0" y="0"/>
            <wp:positionH relativeFrom="column">
              <wp:posOffset>4362450</wp:posOffset>
            </wp:positionH>
            <wp:positionV relativeFrom="paragraph">
              <wp:posOffset>0</wp:posOffset>
            </wp:positionV>
            <wp:extent cx="3476625" cy="3933825"/>
            <wp:effectExtent l="0" t="0" r="9525" b="9525"/>
            <wp:wrapSquare wrapText="bothSides"/>
            <wp:docPr id="40" name="Picture 40" descr="S:\Groups\PPM\Employer Workforce Diversity\Employer Survey\Analysis\Q5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roups\PPM\Employer Workforce Diversity\Employer Survey\Analysis\Q5Map.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6625" cy="3933825"/>
                    </a:xfrm>
                    <a:prstGeom prst="rect">
                      <a:avLst/>
                    </a:prstGeom>
                    <a:noFill/>
                    <a:ln>
                      <a:noFill/>
                    </a:ln>
                  </pic:spPr>
                </pic:pic>
              </a:graphicData>
            </a:graphic>
          </wp:anchor>
        </w:drawing>
      </w:r>
    </w:p>
    <w:p w:rsidR="009C193C" w:rsidRDefault="009C193C" w:rsidP="009C193C">
      <w:r w:rsidRPr="00675186">
        <w:rPr>
          <w:b/>
          <w:noProof/>
        </w:rPr>
        <w:t>Workers</w:t>
      </w:r>
      <w:r>
        <w:rPr>
          <w:b/>
        </w:rPr>
        <w:t xml:space="preserve"> of color are slightly more concentrated in large firms, according to Census data (Figure </w:t>
      </w:r>
      <w:r w:rsidR="002F7486">
        <w:rPr>
          <w:b/>
        </w:rPr>
        <w:t>7</w:t>
      </w:r>
      <w:r w:rsidR="00115084">
        <w:rPr>
          <w:b/>
        </w:rPr>
        <w:t>, next page</w:t>
      </w:r>
      <w:r>
        <w:rPr>
          <w:b/>
        </w:rPr>
        <w:t>).</w:t>
      </w:r>
      <w:r w:rsidRPr="002F7486">
        <w:t xml:space="preserve"> (</w:t>
      </w:r>
      <w:r>
        <w:t xml:space="preserve">Note a small difference in definition of “small firms” between Census data and DEED’s survey). </w:t>
      </w:r>
      <w:r w:rsidR="00D12F04">
        <w:t>Part of this difference could be due to the concentration of large firms in the Twin Cities</w:t>
      </w:r>
      <w:r w:rsidR="009879E5">
        <w:t>, Minnesota’s most racially diverse region</w:t>
      </w:r>
      <w:r w:rsidR="00D12F04">
        <w:t>; the available data are not granular enough to test this.</w:t>
      </w:r>
    </w:p>
    <w:p w:rsidR="00992E56" w:rsidRPr="008D00A3" w:rsidRDefault="00992E56" w:rsidP="00992E56">
      <w:r w:rsidRPr="00992E56">
        <w:rPr>
          <w:b/>
        </w:rPr>
        <w:t>Small firms are significantly less likely to report that their workforce is diverse.</w:t>
      </w:r>
      <w:r>
        <w:t xml:space="preserve"> </w:t>
      </w:r>
      <w:r w:rsidRPr="008D00A3">
        <w:t>Three out of four large and medium sized firms rate themselves as diverse according to their own definition, but significantly fewer small businesses do: j</w:t>
      </w:r>
      <w:r w:rsidR="002F7486">
        <w:t>ust three out of five (Figure 8</w:t>
      </w:r>
      <w:r w:rsidR="00115084">
        <w:t>, next page</w:t>
      </w:r>
      <w:r w:rsidRPr="008D00A3">
        <w:t xml:space="preserve">). </w:t>
      </w:r>
    </w:p>
    <w:p w:rsidR="00115084" w:rsidRDefault="00115084">
      <w:r>
        <w:br w:type="page"/>
      </w:r>
    </w:p>
    <w:p w:rsidR="00115084" w:rsidRDefault="002F7486" w:rsidP="00593464">
      <w:r>
        <w:rPr>
          <w:noProof/>
        </w:rPr>
        <w:lastRenderedPageBreak/>
        <mc:AlternateContent>
          <mc:Choice Requires="wps">
            <w:drawing>
              <wp:anchor distT="45720" distB="45720" distL="114300" distR="114300" simplePos="0" relativeHeight="251750400" behindDoc="0" locked="0" layoutInCell="1" allowOverlap="1" wp14:anchorId="3E2A0BD1" wp14:editId="6E142C90">
                <wp:simplePos x="0" y="0"/>
                <wp:positionH relativeFrom="column">
                  <wp:posOffset>793115</wp:posOffset>
                </wp:positionH>
                <wp:positionV relativeFrom="paragraph">
                  <wp:posOffset>2206625</wp:posOffset>
                </wp:positionV>
                <wp:extent cx="3268980" cy="257175"/>
                <wp:effectExtent l="0" t="0" r="0" b="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57175"/>
                        </a:xfrm>
                        <a:prstGeom prst="rect">
                          <a:avLst/>
                        </a:prstGeom>
                        <a:noFill/>
                        <a:ln w="9525">
                          <a:noFill/>
                          <a:miter lim="800000"/>
                          <a:headEnd/>
                          <a:tailEnd/>
                        </a:ln>
                      </wps:spPr>
                      <wps:txbx>
                        <w:txbxContent>
                          <w:p w:rsidR="000B37E9" w:rsidRPr="00EC4940" w:rsidRDefault="000B37E9" w:rsidP="00115084">
                            <w:pPr>
                              <w:rPr>
                                <w:i/>
                                <w:sz w:val="20"/>
                              </w:rPr>
                            </w:pPr>
                            <w:r>
                              <w:rPr>
                                <w:i/>
                                <w:sz w:val="20"/>
                              </w:rPr>
                              <w:t>Source: U.S. Census Bureau, Quarterly Workforce Indicators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A0BD1" id="_x0000_s1027" type="#_x0000_t202" style="position:absolute;margin-left:62.45pt;margin-top:173.75pt;width:257.4pt;height:20.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" filled="f" stroked="f">
                <v:textbox>
                  <w:txbxContent>
                    <w:p w:rsidR="000B37E9" w:rsidRPr="00EC4940" w:rsidRDefault="000B37E9" w:rsidP="00115084">
                      <w:pPr>
                        <w:rPr>
                          <w:i/>
                          <w:sz w:val="20"/>
                        </w:rPr>
                      </w:pPr>
                      <w:r>
                        <w:rPr>
                          <w:i/>
                          <w:sz w:val="20"/>
                        </w:rPr>
                        <w:t>Source: U.S. Census Bureau, Quarterly Workforce Indicators</w:t>
                      </w:r>
                    </w:p>
                  </w:txbxContent>
                </v:textbox>
                <w10:wrap type="topAndBottom"/>
              </v:shape>
            </w:pict>
          </mc:Fallback>
        </mc:AlternateContent>
      </w:r>
      <w:r w:rsidRPr="00675186">
        <w:rPr>
          <w:b/>
          <w:noProof/>
        </w:rPr>
        <w:drawing>
          <wp:anchor distT="0" distB="0" distL="114300" distR="114300" simplePos="0" relativeHeight="251746304" behindDoc="0" locked="0" layoutInCell="1" allowOverlap="1" wp14:anchorId="3B05868A" wp14:editId="1AF3C217">
            <wp:simplePos x="0" y="0"/>
            <wp:positionH relativeFrom="margin">
              <wp:align>left</wp:align>
            </wp:positionH>
            <wp:positionV relativeFrom="paragraph">
              <wp:posOffset>810</wp:posOffset>
            </wp:positionV>
            <wp:extent cx="4023360" cy="2240915"/>
            <wp:effectExtent l="0" t="0" r="15240" b="6985"/>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523E14">
        <w:rPr>
          <w:noProof/>
        </w:rPr>
        <w:drawing>
          <wp:anchor distT="0" distB="0" distL="114300" distR="114300" simplePos="0" relativeHeight="251752448" behindDoc="0" locked="0" layoutInCell="1" allowOverlap="1">
            <wp:simplePos x="0" y="0"/>
            <wp:positionH relativeFrom="margin">
              <wp:align>right</wp:align>
            </wp:positionH>
            <wp:positionV relativeFrom="paragraph">
              <wp:posOffset>2402205</wp:posOffset>
            </wp:positionV>
            <wp:extent cx="4023360" cy="3308350"/>
            <wp:effectExtent l="0" t="0" r="15240" b="635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DC77FD">
        <w:rPr>
          <w:noProof/>
        </w:rPr>
        <w:drawing>
          <wp:anchor distT="0" distB="0" distL="114300" distR="114300" simplePos="0" relativeHeight="251751424" behindDoc="0" locked="0" layoutInCell="1" allowOverlap="1">
            <wp:simplePos x="0" y="0"/>
            <wp:positionH relativeFrom="margin">
              <wp:align>right</wp:align>
            </wp:positionH>
            <wp:positionV relativeFrom="paragraph">
              <wp:posOffset>0</wp:posOffset>
            </wp:positionV>
            <wp:extent cx="4023360" cy="2240915"/>
            <wp:effectExtent l="0" t="0" r="15240" b="698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593464" w:rsidRDefault="00593464" w:rsidP="00593464">
      <w:r>
        <w:t xml:space="preserve">When asked to rate their workforce diversity relative to their community, </w:t>
      </w:r>
      <w:r w:rsidRPr="00615272">
        <w:rPr>
          <w:b/>
        </w:rPr>
        <w:t>small firms report being equally or more diverse at a higher rate than large firms</w:t>
      </w:r>
      <w:r w:rsidR="00F8735A">
        <w:rPr>
          <w:b/>
        </w:rPr>
        <w:t xml:space="preserve"> (Figure</w:t>
      </w:r>
      <w:r w:rsidR="00115084">
        <w:rPr>
          <w:b/>
        </w:rPr>
        <w:t xml:space="preserve"> </w:t>
      </w:r>
      <w:r w:rsidR="002F7486">
        <w:rPr>
          <w:b/>
        </w:rPr>
        <w:t>9</w:t>
      </w:r>
      <w:r>
        <w:rPr>
          <w:b/>
        </w:rPr>
        <w:t>)</w:t>
      </w:r>
      <w:r>
        <w:t>.</w:t>
      </w:r>
      <w:r w:rsidR="009879E5">
        <w:t xml:space="preserve"> T</w:t>
      </w:r>
      <w:r>
        <w:t xml:space="preserve">his trend holds true even within the diverse Twin Cities region. </w:t>
      </w:r>
    </w:p>
    <w:p w:rsidR="009879E5" w:rsidRDefault="00593464">
      <w:r>
        <w:t xml:space="preserve">Comparing these responses to those on the percent reporting their workforce is diverse according to their own definition (Figure </w:t>
      </w:r>
      <w:r w:rsidR="009879E5">
        <w:t>7</w:t>
      </w:r>
      <w:r>
        <w:t>) yields some surprising trends. Once given a benchmark (their community) and instructed to limit diversity to racial diversity, much fewer large employers rate themselves as diverse (75 percent falls to 59 percent) while</w:t>
      </w:r>
      <w:r w:rsidR="002F7486">
        <w:t xml:space="preserve"> over</w:t>
      </w:r>
      <w:r>
        <w:t xml:space="preserve"> 60 percent of small </w:t>
      </w:r>
      <w:proofErr w:type="gramStart"/>
      <w:r>
        <w:t>employers</w:t>
      </w:r>
      <w:proofErr w:type="gramEnd"/>
      <w:r>
        <w:t xml:space="preserve"> rate themselves as diverse under both criteria. </w:t>
      </w:r>
    </w:p>
    <w:p w:rsidR="00BB3550" w:rsidRDefault="00593464">
      <w:r>
        <w:t>This could be due in part to large employers’ broader definitions of diversity, which includ</w:t>
      </w:r>
      <w:r w:rsidR="00115084">
        <w:t>e more factors other than race.</w:t>
      </w:r>
    </w:p>
    <w:p w:rsidR="00BB3550" w:rsidRDefault="00DC77FD" w:rsidP="00BB3550">
      <w:r>
        <w:rPr>
          <w:noProof/>
        </w:rPr>
        <w:lastRenderedPageBreak/>
        <w:drawing>
          <wp:anchor distT="0" distB="0" distL="114300" distR="114300" simplePos="0" relativeHeight="251711488" behindDoc="0" locked="0" layoutInCell="1" allowOverlap="1" wp14:anchorId="02D69302" wp14:editId="7CD2536B">
            <wp:simplePos x="0" y="0"/>
            <wp:positionH relativeFrom="margin">
              <wp:align>right</wp:align>
            </wp:positionH>
            <wp:positionV relativeFrom="paragraph">
              <wp:posOffset>0</wp:posOffset>
            </wp:positionV>
            <wp:extent cx="4023360" cy="3383280"/>
            <wp:effectExtent l="0" t="0" r="15240" b="762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BB3550">
        <w:rPr>
          <w:noProof/>
        </w:rPr>
        <mc:AlternateContent>
          <mc:Choice Requires="wps">
            <w:drawing>
              <wp:anchor distT="45720" distB="45720" distL="114300" distR="114300" simplePos="0" relativeHeight="251712512" behindDoc="0" locked="0" layoutInCell="1" allowOverlap="1" wp14:anchorId="31CDBDE7" wp14:editId="3CFB1644">
                <wp:simplePos x="0" y="0"/>
                <wp:positionH relativeFrom="column">
                  <wp:posOffset>776013</wp:posOffset>
                </wp:positionH>
                <wp:positionV relativeFrom="paragraph">
                  <wp:posOffset>3358646</wp:posOffset>
                </wp:positionV>
                <wp:extent cx="3268980" cy="25717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57175"/>
                        </a:xfrm>
                        <a:prstGeom prst="rect">
                          <a:avLst/>
                        </a:prstGeom>
                        <a:noFill/>
                        <a:ln w="9525">
                          <a:noFill/>
                          <a:miter lim="800000"/>
                          <a:headEnd/>
                          <a:tailEnd/>
                        </a:ln>
                      </wps:spPr>
                      <wps:txbx>
                        <w:txbxContent>
                          <w:p w:rsidR="000B37E9" w:rsidRPr="00EC4940" w:rsidRDefault="000B37E9" w:rsidP="00BB3550">
                            <w:pPr>
                              <w:rPr>
                                <w:i/>
                                <w:sz w:val="20"/>
                              </w:rPr>
                            </w:pPr>
                            <w:r>
                              <w:rPr>
                                <w:i/>
                                <w:sz w:val="20"/>
                              </w:rPr>
                              <w:t>Source: U.S. Census Bureau, Quarterly Workforce Indicators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DBDE7" id="_x0000_s1028" type="#_x0000_t202" style="position:absolute;margin-left:61.1pt;margin-top:264.45pt;width:257.4pt;height:20.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" filled="f" stroked="f">
                <v:textbox>
                  <w:txbxContent>
                    <w:p w:rsidR="000B37E9" w:rsidRPr="00EC4940" w:rsidRDefault="000B37E9" w:rsidP="00BB3550">
                      <w:pPr>
                        <w:rPr>
                          <w:i/>
                          <w:sz w:val="20"/>
                        </w:rPr>
                      </w:pPr>
                      <w:r>
                        <w:rPr>
                          <w:i/>
                          <w:sz w:val="20"/>
                        </w:rPr>
                        <w:t>Source: U.S. Census Bureau, Quarterly Workforce Indicators</w:t>
                      </w:r>
                    </w:p>
                  </w:txbxContent>
                </v:textbox>
                <w10:wrap type="topAndBottom"/>
              </v:shape>
            </w:pict>
          </mc:Fallback>
        </mc:AlternateContent>
      </w:r>
      <w:r w:rsidR="00BB3550">
        <w:rPr>
          <w:noProof/>
        </w:rPr>
        <w:drawing>
          <wp:anchor distT="0" distB="0" distL="114300" distR="114300" simplePos="0" relativeHeight="251710464" behindDoc="0" locked="0" layoutInCell="1" allowOverlap="1" wp14:anchorId="07921642" wp14:editId="0A6C9681">
            <wp:simplePos x="0" y="0"/>
            <wp:positionH relativeFrom="margin">
              <wp:align>left</wp:align>
            </wp:positionH>
            <wp:positionV relativeFrom="paragraph">
              <wp:posOffset>0</wp:posOffset>
            </wp:positionV>
            <wp:extent cx="4023360" cy="3383915"/>
            <wp:effectExtent l="0" t="0" r="15240" b="6985"/>
            <wp:wrapTopAndBottom/>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BB3550">
        <w:rPr>
          <w:noProof/>
        </w:rPr>
        <w:t>Leisure and Hospitality employers in Minnesota have the highest concentration of workers of color, at 22 percent, and Construction has the lowest, at eight percent</w:t>
      </w:r>
      <w:r w:rsidR="00BB3550">
        <w:t xml:space="preserve"> (Figure </w:t>
      </w:r>
      <w:r w:rsidR="002F7486">
        <w:t>10</w:t>
      </w:r>
      <w:r w:rsidR="00BB3550">
        <w:t xml:space="preserve">). </w:t>
      </w:r>
    </w:p>
    <w:p w:rsidR="009879E5" w:rsidRDefault="00BB3550" w:rsidP="00BB3550">
      <w:pPr>
        <w:rPr>
          <w:b/>
        </w:rPr>
      </w:pPr>
      <w:r w:rsidRPr="00247079">
        <w:rPr>
          <w:b/>
        </w:rPr>
        <w:t>T</w:t>
      </w:r>
      <w:r w:rsidRPr="00C76B1D">
        <w:rPr>
          <w:b/>
        </w:rPr>
        <w:t xml:space="preserve">he relative racial diversity among industries largely aligns with employers’ self-assessment of </w:t>
      </w:r>
      <w:r>
        <w:rPr>
          <w:b/>
        </w:rPr>
        <w:t xml:space="preserve">their own diversity using their </w:t>
      </w:r>
      <w:r w:rsidRPr="00C76B1D">
        <w:rPr>
          <w:b/>
        </w:rPr>
        <w:t>broader definition of diversity</w:t>
      </w:r>
      <w:r w:rsidRPr="00247079">
        <w:rPr>
          <w:b/>
        </w:rPr>
        <w:t xml:space="preserve"> (Figure </w:t>
      </w:r>
      <w:r w:rsidR="002F7486">
        <w:rPr>
          <w:b/>
        </w:rPr>
        <w:t>11</w:t>
      </w:r>
      <w:r w:rsidRPr="00247079">
        <w:rPr>
          <w:b/>
        </w:rPr>
        <w:t xml:space="preserve">). </w:t>
      </w:r>
    </w:p>
    <w:p w:rsidR="00BB3550" w:rsidRPr="004E4853" w:rsidRDefault="00BB3550" w:rsidP="00BB3550">
      <w:r>
        <w:t>One exception is of note: although Construction is the least racially diverse industry in Minnesota, three out of four construction firms report that their workforce is diverse according to a broad definition, among the highest rate of any industry.</w:t>
      </w:r>
      <w:r w:rsidRPr="00247079">
        <w:rPr>
          <w:b/>
        </w:rPr>
        <w:t xml:space="preserve"> One explanation could be that the emphasis on both gender and racial diversity (through explicit hiring targets in government contracts) means racial diversity alone is not a good proxy for overall perceived diversity.</w:t>
      </w:r>
      <w:r>
        <w:t xml:space="preserve"> </w:t>
      </w:r>
    </w:p>
    <w:p w:rsidR="00BB3550" w:rsidRDefault="00BB3550" w:rsidP="00BB3550">
      <w:r w:rsidRPr="00C76B1D">
        <w:rPr>
          <w:b/>
        </w:rPr>
        <w:t>Government and Education Services have a significantly lower rate of self-assessed workforce diversity than most other industries</w:t>
      </w:r>
      <w:r>
        <w:t xml:space="preserve"> (with the exception of Natural Resources and Mining): only about half report that their workforce is diverse according to their stated definition.</w:t>
      </w:r>
    </w:p>
    <w:p w:rsidR="00BB3550" w:rsidRDefault="00BB3550" w:rsidP="00BB3550">
      <w:r>
        <w:rPr>
          <w:noProof/>
        </w:rPr>
        <w:lastRenderedPageBreak/>
        <w:drawing>
          <wp:anchor distT="0" distB="0" distL="114300" distR="114300" simplePos="0" relativeHeight="251719680" behindDoc="0" locked="0" layoutInCell="1" allowOverlap="1" wp14:anchorId="3E8FDA9C" wp14:editId="2FC26385">
            <wp:simplePos x="0" y="0"/>
            <wp:positionH relativeFrom="column">
              <wp:posOffset>0</wp:posOffset>
            </wp:positionH>
            <wp:positionV relativeFrom="paragraph">
              <wp:posOffset>0</wp:posOffset>
            </wp:positionV>
            <wp:extent cx="8229600" cy="4023360"/>
            <wp:effectExtent l="0" t="0" r="0" b="1524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BB3550" w:rsidRPr="004F4703" w:rsidRDefault="00BB3550" w:rsidP="00BB3550">
      <w:r>
        <w:t xml:space="preserve">Industries have different customer bases and likely have varying levels of pressure to match the diversity of their customer base in their workforce. </w:t>
      </w:r>
      <w:r w:rsidRPr="00C76B1D">
        <w:rPr>
          <w:b/>
        </w:rPr>
        <w:t>Government and Education Services</w:t>
      </w:r>
      <w:r>
        <w:rPr>
          <w:b/>
        </w:rPr>
        <w:t xml:space="preserve"> </w:t>
      </w:r>
      <w:r w:rsidRPr="00C76B1D">
        <w:rPr>
          <w:b/>
        </w:rPr>
        <w:t>have significantly higher rates than other industries of reporting their workforce is less diverse than their customer base</w:t>
      </w:r>
      <w:r>
        <w:rPr>
          <w:b/>
        </w:rPr>
        <w:t>:</w:t>
      </w:r>
      <w:r w:rsidRPr="00C76B1D">
        <w:rPr>
          <w:b/>
        </w:rPr>
        <w:t xml:space="preserve"> </w:t>
      </w:r>
      <w:r>
        <w:rPr>
          <w:b/>
        </w:rPr>
        <w:t>they also have the broadest</w:t>
      </w:r>
      <w:r w:rsidRPr="00C76B1D">
        <w:rPr>
          <w:b/>
        </w:rPr>
        <w:t xml:space="preserve"> </w:t>
      </w:r>
      <w:r>
        <w:rPr>
          <w:b/>
        </w:rPr>
        <w:t xml:space="preserve">(and, for Education Services, the youngest) </w:t>
      </w:r>
      <w:r w:rsidRPr="00C76B1D">
        <w:rPr>
          <w:b/>
        </w:rPr>
        <w:t>custo</w:t>
      </w:r>
      <w:r>
        <w:rPr>
          <w:b/>
        </w:rPr>
        <w:t xml:space="preserve">mer base </w:t>
      </w:r>
      <w:r w:rsidRPr="004F4703">
        <w:rPr>
          <w:b/>
        </w:rPr>
        <w:t xml:space="preserve">(Figure </w:t>
      </w:r>
      <w:r w:rsidR="002F7486">
        <w:rPr>
          <w:b/>
        </w:rPr>
        <w:t>12</w:t>
      </w:r>
      <w:r w:rsidRPr="004F4703">
        <w:rPr>
          <w:b/>
        </w:rPr>
        <w:t>).</w:t>
      </w:r>
      <w:r w:rsidRPr="00C76B1D">
        <w:rPr>
          <w:b/>
        </w:rPr>
        <w:t xml:space="preserve"> </w:t>
      </w:r>
    </w:p>
    <w:p w:rsidR="00BB3550" w:rsidRDefault="00BB3550" w:rsidP="00BB3550">
      <w:r>
        <w:t>The goods-producing industries (Manufacturing, Natural Resources and Mining, and Construction) and Professional and Business Services had the most difficulty answering this question (up to two in five report being unsure), presumably because their customer base tends to be other business entities rather than individual consumers.</w:t>
      </w:r>
    </w:p>
    <w:p w:rsidR="00BB3550" w:rsidRDefault="00BB3550" w:rsidP="00BB3550">
      <w:r>
        <w:rPr>
          <w:noProof/>
        </w:rPr>
        <w:lastRenderedPageBreak/>
        <w:drawing>
          <wp:anchor distT="0" distB="0" distL="114300" distR="114300" simplePos="0" relativeHeight="251720704" behindDoc="0" locked="0" layoutInCell="1" allowOverlap="1" wp14:anchorId="4F70BEC8" wp14:editId="3353D3DA">
            <wp:simplePos x="0" y="0"/>
            <wp:positionH relativeFrom="column">
              <wp:posOffset>0</wp:posOffset>
            </wp:positionH>
            <wp:positionV relativeFrom="paragraph">
              <wp:posOffset>0</wp:posOffset>
            </wp:positionV>
            <wp:extent cx="8229600" cy="4023360"/>
            <wp:effectExtent l="0" t="0" r="0" b="1524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BB3550" w:rsidRDefault="00BB3550" w:rsidP="00BB3550">
      <w:r w:rsidRPr="009E0131">
        <w:rPr>
          <w:b/>
        </w:rPr>
        <w:t>Employers in the Natural Resources and Mining industry are most likely to rate themselves as more diverse than their city or town</w:t>
      </w:r>
      <w:r w:rsidR="009879E5">
        <w:rPr>
          <w:b/>
        </w:rPr>
        <w:t xml:space="preserve"> (Figure 13)</w:t>
      </w:r>
      <w:r w:rsidRPr="009E0131">
        <w:rPr>
          <w:b/>
        </w:rPr>
        <w:t>, a result driven by employers in agriculture, half of whom report being more diverse than their city or town</w:t>
      </w:r>
      <w:r w:rsidR="002F7486">
        <w:rPr>
          <w:b/>
        </w:rPr>
        <w:t xml:space="preserve"> (</w:t>
      </w:r>
      <w:r w:rsidR="009879E5">
        <w:rPr>
          <w:b/>
        </w:rPr>
        <w:t>not shown</w:t>
      </w:r>
      <w:r w:rsidR="002F7486">
        <w:rPr>
          <w:b/>
        </w:rPr>
        <w:t>)</w:t>
      </w:r>
      <w:r w:rsidRPr="009E0131">
        <w:rPr>
          <w:b/>
        </w:rPr>
        <w:t>.</w:t>
      </w:r>
      <w:r>
        <w:t xml:space="preserve"> According to Census data, 12 percent of agricultural employees in Minnesota are Hispanic or Latino, the highest rate of any industry. Moreover, this employment is concentrated in rural areas which tend to be less racially diverse.</w:t>
      </w:r>
    </w:p>
    <w:p w:rsidR="00BB3550" w:rsidRDefault="00BB3550" w:rsidP="00BB3550">
      <w:r>
        <w:rPr>
          <w:noProof/>
        </w:rPr>
        <w:lastRenderedPageBreak/>
        <w:drawing>
          <wp:anchor distT="0" distB="0" distL="114300" distR="114300" simplePos="0" relativeHeight="251721728" behindDoc="0" locked="0" layoutInCell="1" allowOverlap="1" wp14:anchorId="31F319D4" wp14:editId="5632A65E">
            <wp:simplePos x="0" y="0"/>
            <wp:positionH relativeFrom="margin">
              <wp:align>left</wp:align>
            </wp:positionH>
            <wp:positionV relativeFrom="paragraph">
              <wp:posOffset>0</wp:posOffset>
            </wp:positionV>
            <wp:extent cx="8229600" cy="4023360"/>
            <wp:effectExtent l="0" t="0" r="0" b="1524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BB3550" w:rsidRDefault="00BB3550" w:rsidP="00BB3550">
      <w:r w:rsidRPr="009E0131">
        <w:rPr>
          <w:b/>
        </w:rPr>
        <w:t>While government employers rate themselves the least diverse compared to their direct competitors, employers in Education Services are among the top</w:t>
      </w:r>
      <w:r w:rsidR="002F7486">
        <w:rPr>
          <w:b/>
        </w:rPr>
        <w:t xml:space="preserve"> (Figure 14)</w:t>
      </w:r>
      <w:r w:rsidRPr="009E0131">
        <w:rPr>
          <w:b/>
        </w:rPr>
        <w:t>—what could account for this divergence between the two industries which consistently rank themselves among the least diverse?</w:t>
      </w:r>
      <w:r>
        <w:t xml:space="preserve"> One possibility is that the competition for Education Services workers is more limited: workers tend to be highly credentialed in teaching (which translates into higher costs of changing occupations) with fewer private sector opportunities in their profession than Government workers, who may be able to continue in their communications, research, administrative, or other profession in the private sector.</w:t>
      </w:r>
    </w:p>
    <w:p w:rsidR="00115084" w:rsidRDefault="00BB3550">
      <w:pPr>
        <w:rPr>
          <w:rFonts w:asciiTheme="majorHAnsi" w:eastAsiaTheme="majorEastAsia" w:hAnsiTheme="majorHAnsi" w:cstheme="majorBidi"/>
          <w:color w:val="404040" w:themeColor="text1" w:themeTint="BF"/>
          <w:sz w:val="32"/>
          <w:szCs w:val="32"/>
        </w:rPr>
      </w:pPr>
      <w:r>
        <w:rPr>
          <w:b/>
        </w:rPr>
        <w:t>Finally, e</w:t>
      </w:r>
      <w:r w:rsidRPr="003F1CBF">
        <w:rPr>
          <w:b/>
        </w:rPr>
        <w:t xml:space="preserve">mployers in Leisure and Hospitality rate themselves as highly diverse relative to all three benchmarks provided. </w:t>
      </w:r>
      <w:r w:rsidRPr="004F4703">
        <w:t>Age of worker may be a factor here, as this industry includes many typical first jobs that a young adult might hold, from fast food worker to movie theatre attendant</w:t>
      </w:r>
      <w:r w:rsidRPr="003F1CBF">
        <w:rPr>
          <w:b/>
        </w:rPr>
        <w:t xml:space="preserve">. </w:t>
      </w:r>
      <w:r w:rsidR="00115084">
        <w:br w:type="page"/>
      </w:r>
    </w:p>
    <w:p w:rsidR="001577E1" w:rsidRDefault="001577E1" w:rsidP="001577E1">
      <w:pPr>
        <w:pStyle w:val="Heading1"/>
      </w:pPr>
      <w:r>
        <w:lastRenderedPageBreak/>
        <w:t>Are employers trying to increase the diversity of their workforce?</w:t>
      </w:r>
    </w:p>
    <w:p w:rsidR="00D82B68" w:rsidRPr="00D82B68" w:rsidRDefault="00BA3392" w:rsidP="007C4978">
      <w:r>
        <w:rPr>
          <w:noProof/>
        </w:rPr>
        <w:drawing>
          <wp:anchor distT="274320" distB="274320" distL="274320" distR="274320" simplePos="0" relativeHeight="251658240" behindDoc="0" locked="0" layoutInCell="1" allowOverlap="1">
            <wp:simplePos x="0" y="0"/>
            <wp:positionH relativeFrom="margin">
              <wp:align>right</wp:align>
            </wp:positionH>
            <wp:positionV relativeFrom="paragraph">
              <wp:posOffset>350109</wp:posOffset>
            </wp:positionV>
            <wp:extent cx="4526915" cy="3333750"/>
            <wp:effectExtent l="0" t="0" r="6985"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anchor>
        </w:drawing>
      </w:r>
      <w:r w:rsidR="001B39F0">
        <w:t xml:space="preserve">Business literature on diversity suggests </w:t>
      </w:r>
      <w:r w:rsidR="00CF6B90">
        <w:t>many</w:t>
      </w:r>
      <w:r w:rsidR="001B39F0">
        <w:t xml:space="preserve"> efforts to diversify are more successful in </w:t>
      </w:r>
      <w:r w:rsidR="00255C5B">
        <w:t>entry</w:t>
      </w:r>
      <w:r w:rsidR="001B39F0">
        <w:t xml:space="preserve">-level positions </w:t>
      </w:r>
      <w:r w:rsidR="00E47B9C">
        <w:t>than in</w:t>
      </w:r>
      <w:r w:rsidR="001B39F0">
        <w:t xml:space="preserve"> </w:t>
      </w:r>
      <w:r w:rsidR="00255C5B">
        <w:t>higher-level</w:t>
      </w:r>
      <w:r w:rsidR="00E47B9C">
        <w:t xml:space="preserve"> positions</w:t>
      </w:r>
      <w:r w:rsidR="001B39F0">
        <w:t xml:space="preserve">. </w:t>
      </w:r>
      <w:r w:rsidR="00E47B9C">
        <w:t>At the same time, the</w:t>
      </w:r>
      <w:r w:rsidR="00255C5B">
        <w:t xml:space="preserve"> successful</w:t>
      </w:r>
      <w:r w:rsidR="00E47B9C">
        <w:t xml:space="preserve"> retention of staff </w:t>
      </w:r>
      <w:r w:rsidR="00255C5B">
        <w:t xml:space="preserve">can depend on having a diverse management team, </w:t>
      </w:r>
      <w:r w:rsidR="00A4279F">
        <w:t xml:space="preserve">both </w:t>
      </w:r>
      <w:r w:rsidR="00255C5B">
        <w:t xml:space="preserve">so staff can see a career progression for themselves and also </w:t>
      </w:r>
      <w:r w:rsidR="00A4279F">
        <w:t>so they can be mentored by</w:t>
      </w:r>
      <w:r w:rsidR="00255C5B">
        <w:t xml:space="preserve"> managers of </w:t>
      </w:r>
      <w:r w:rsidR="00CF6B90">
        <w:t>similar backgrounds</w:t>
      </w:r>
      <w:r w:rsidR="00A4279F">
        <w:t>. Because of this, employers may have different diversity strategies for their entry-level positions than their management-level positions.</w:t>
      </w:r>
    </w:p>
    <w:p w:rsidR="007C4978" w:rsidRPr="007C4978" w:rsidRDefault="006F4BAB" w:rsidP="007C4978">
      <w:r>
        <w:rPr>
          <w:b/>
        </w:rPr>
        <w:t>57 percent</w:t>
      </w:r>
      <w:r w:rsidR="007C4978" w:rsidRPr="007C4978">
        <w:rPr>
          <w:b/>
        </w:rPr>
        <w:t xml:space="preserve"> of employers report actively trying to increase racial diversity in entry-level positions; 53</w:t>
      </w:r>
      <w:r>
        <w:rPr>
          <w:b/>
        </w:rPr>
        <w:t xml:space="preserve"> percent</w:t>
      </w:r>
      <w:r w:rsidR="007C4978" w:rsidRPr="007C4978">
        <w:rPr>
          <w:b/>
        </w:rPr>
        <w:t xml:space="preserve"> in management positions</w:t>
      </w:r>
      <w:r w:rsidR="007C4978" w:rsidRPr="007C4978">
        <w:t xml:space="preserve">. </w:t>
      </w:r>
      <w:r w:rsidR="00CF6B90">
        <w:t xml:space="preserve">This difference is </w:t>
      </w:r>
      <w:r w:rsidR="00FD2B09">
        <w:t>within the margin of error</w:t>
      </w:r>
      <w:r w:rsidR="00CF6B90">
        <w:t xml:space="preserve">, implying that </w:t>
      </w:r>
      <w:r w:rsidR="007308E8">
        <w:t xml:space="preserve">most </w:t>
      </w:r>
      <w:r w:rsidR="00CF6B90">
        <w:t>employers tend to view diversity at all leve</w:t>
      </w:r>
      <w:r w:rsidR="00A4279F">
        <w:t>ls as occurring simultaneously.</w:t>
      </w:r>
    </w:p>
    <w:p w:rsidR="0098329C" w:rsidRDefault="00C70E0D" w:rsidP="00415BEE">
      <w:r>
        <w:t xml:space="preserve">Academic and business literature suggests a </w:t>
      </w:r>
      <w:r w:rsidR="00415BEE">
        <w:t>strong</w:t>
      </w:r>
      <w:r>
        <w:t xml:space="preserve"> </w:t>
      </w:r>
      <w:r w:rsidR="00415BEE">
        <w:t xml:space="preserve">business case for </w:t>
      </w:r>
      <w:r>
        <w:t>employing a diverse workforce</w:t>
      </w:r>
      <w:r w:rsidR="00776A9F">
        <w:t>, from improving the work</w:t>
      </w:r>
      <w:r w:rsidR="007308E8">
        <w:t>place</w:t>
      </w:r>
      <w:r w:rsidR="00776A9F">
        <w:t xml:space="preserve"> </w:t>
      </w:r>
      <w:r w:rsidR="007308E8">
        <w:t>culture</w:t>
      </w:r>
      <w:r>
        <w:t xml:space="preserve"> </w:t>
      </w:r>
      <w:r w:rsidR="00776A9F">
        <w:t>to</w:t>
      </w:r>
      <w:r>
        <w:t xml:space="preserve"> increasing the produ</w:t>
      </w:r>
      <w:r w:rsidR="00C84CAC">
        <w:t xml:space="preserve">ctivity and creativity of teams, </w:t>
      </w:r>
      <w:r w:rsidR="00415BEE">
        <w:t>as well as</w:t>
      </w:r>
      <w:r w:rsidR="00C84CAC">
        <w:t xml:space="preserve"> </w:t>
      </w:r>
      <w:r w:rsidR="00415BEE">
        <w:t>a</w:t>
      </w:r>
      <w:r>
        <w:t xml:space="preserve"> social responsibility</w:t>
      </w:r>
      <w:r w:rsidR="00415BEE">
        <w:t xml:space="preserve"> case for improving employment equity</w:t>
      </w:r>
      <w:r w:rsidR="00C84CAC">
        <w:t>. The l</w:t>
      </w:r>
      <w:r w:rsidR="0098329C">
        <w:t>iterature also suggests that racial diversity may signal to applicants of all races that they will be welcomed, increasing the potential applicant pool.</w:t>
      </w:r>
      <w:r w:rsidR="00C84CAC">
        <w:t xml:space="preserve"> </w:t>
      </w:r>
    </w:p>
    <w:p w:rsidR="00D82B68" w:rsidRPr="00D82B68" w:rsidRDefault="00D82B68" w:rsidP="00415BEE">
      <w:r w:rsidRPr="00D82B68">
        <w:rPr>
          <w:b/>
        </w:rPr>
        <w:t>66 percent of employers indicate that they would seek to increase racial diversity to attract the best applicants</w:t>
      </w:r>
      <w:r w:rsidR="00E868F3">
        <w:rPr>
          <w:b/>
        </w:rPr>
        <w:t xml:space="preserve"> (</w:t>
      </w:r>
      <w:r w:rsidR="00A96797">
        <w:rPr>
          <w:b/>
        </w:rPr>
        <w:t>Figure</w:t>
      </w:r>
      <w:r w:rsidR="002F7486">
        <w:rPr>
          <w:b/>
        </w:rPr>
        <w:t xml:space="preserve"> 15</w:t>
      </w:r>
      <w:r w:rsidR="00E868F3">
        <w:rPr>
          <w:b/>
        </w:rPr>
        <w:t>)</w:t>
      </w:r>
      <w:r w:rsidRPr="00D82B68">
        <w:rPr>
          <w:b/>
        </w:rPr>
        <w:t>.</w:t>
      </w:r>
      <w:r>
        <w:rPr>
          <w:b/>
        </w:rPr>
        <w:t xml:space="preserve"> </w:t>
      </w:r>
      <w:r>
        <w:t>Additional reasons that resonate with respondents are to improve their work environment or culture (44 percent) and to improve racial equity (41 percent).</w:t>
      </w:r>
    </w:p>
    <w:p w:rsidR="007A2294" w:rsidRDefault="007A2294">
      <w:pPr>
        <w:rPr>
          <w:b/>
        </w:rPr>
      </w:pPr>
      <w:r>
        <w:rPr>
          <w:b/>
        </w:rPr>
        <w:br w:type="page"/>
      </w:r>
    </w:p>
    <w:p w:rsidR="00BB3550" w:rsidRDefault="00BB3550" w:rsidP="00BB3550">
      <w:r w:rsidRPr="00EE663E">
        <w:rPr>
          <w:b/>
        </w:rPr>
        <w:lastRenderedPageBreak/>
        <w:t>Twin Cities employers are most likely to report actively promoting diversity (72 percent</w:t>
      </w:r>
      <w:r w:rsidR="002F7486" w:rsidRPr="00EE663E">
        <w:rPr>
          <w:b/>
        </w:rPr>
        <w:t xml:space="preserve">, </w:t>
      </w:r>
      <w:r w:rsidR="002F7486" w:rsidRPr="007B58A3">
        <w:rPr>
          <w:b/>
        </w:rPr>
        <w:t>Figure 16</w:t>
      </w:r>
      <w:r w:rsidRPr="00EE663E">
        <w:rPr>
          <w:b/>
        </w:rPr>
        <w:t>) and are most likely to report that others in their region are actively promoting diversity (42 percent</w:t>
      </w:r>
      <w:r w:rsidR="00686761" w:rsidRPr="00EE663E">
        <w:rPr>
          <w:b/>
        </w:rPr>
        <w:t xml:space="preserve">, </w:t>
      </w:r>
      <w:r w:rsidR="00686761" w:rsidRPr="007B58A3">
        <w:rPr>
          <w:b/>
        </w:rPr>
        <w:t xml:space="preserve">Figure </w:t>
      </w:r>
      <w:r w:rsidR="002F7486" w:rsidRPr="007B58A3">
        <w:rPr>
          <w:b/>
        </w:rPr>
        <w:t>17</w:t>
      </w:r>
      <w:r w:rsidRPr="00EE663E">
        <w:rPr>
          <w:b/>
        </w:rPr>
        <w:t>),</w:t>
      </w:r>
      <w:r>
        <w:t xml:space="preserve"> while employers in Northwest and Southwest Minneso</w:t>
      </w:r>
      <w:r w:rsidR="00807887">
        <w:t xml:space="preserve">ta are least likely to do </w:t>
      </w:r>
      <w:r w:rsidR="00EE663E">
        <w:t>either</w:t>
      </w:r>
      <w:r w:rsidR="00807887">
        <w:t>.</w:t>
      </w:r>
      <w:r w:rsidR="00686761">
        <w:t xml:space="preserve"> </w:t>
      </w:r>
      <w:r w:rsidR="00686761" w:rsidRPr="00EE663E">
        <w:t>The similarity in the regional patterns between these two questions implies that employers do have a good idea of how other employers in their region are approaching diversity.</w:t>
      </w:r>
    </w:p>
    <w:p w:rsidR="007A2294" w:rsidRDefault="007A2294" w:rsidP="00BB3550"/>
    <w:p w:rsidR="007C4978" w:rsidRDefault="007A2294" w:rsidP="00BB3550">
      <w:r>
        <w:rPr>
          <w:b/>
          <w:noProof/>
        </w:rPr>
        <w:drawing>
          <wp:anchor distT="0" distB="0" distL="114300" distR="114300" simplePos="0" relativeHeight="251762688" behindDoc="0" locked="0" layoutInCell="1" allowOverlap="1">
            <wp:simplePos x="0" y="0"/>
            <wp:positionH relativeFrom="column">
              <wp:posOffset>409575</wp:posOffset>
            </wp:positionH>
            <wp:positionV relativeFrom="paragraph">
              <wp:posOffset>6985</wp:posOffset>
            </wp:positionV>
            <wp:extent cx="3476625" cy="4210050"/>
            <wp:effectExtent l="0" t="0" r="9525" b="0"/>
            <wp:wrapSquare wrapText="bothSides"/>
            <wp:docPr id="41" name="Picture 41" descr="S:\Groups\PPM\Employer Workforce Diversity\Employer Survey\Analysis\Q9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Groups\PPM\Employer Workforce Diversity\Employer Survey\Analysis\Q9Map.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76625" cy="4210050"/>
                    </a:xfrm>
                    <a:prstGeom prst="rect">
                      <a:avLst/>
                    </a:prstGeom>
                    <a:noFill/>
                    <a:ln>
                      <a:noFill/>
                    </a:ln>
                  </pic:spPr>
                </pic:pic>
              </a:graphicData>
            </a:graphic>
          </wp:anchor>
        </w:drawing>
      </w:r>
      <w:r>
        <w:rPr>
          <w:b/>
          <w:noProof/>
        </w:rPr>
        <w:drawing>
          <wp:anchor distT="0" distB="0" distL="114300" distR="114300" simplePos="0" relativeHeight="251763712" behindDoc="0" locked="0" layoutInCell="1" allowOverlap="1">
            <wp:simplePos x="0" y="0"/>
            <wp:positionH relativeFrom="column">
              <wp:posOffset>4286250</wp:posOffset>
            </wp:positionH>
            <wp:positionV relativeFrom="paragraph">
              <wp:posOffset>29210</wp:posOffset>
            </wp:positionV>
            <wp:extent cx="3476625" cy="4210050"/>
            <wp:effectExtent l="0" t="0" r="9525" b="0"/>
            <wp:wrapSquare wrapText="bothSides"/>
            <wp:docPr id="42" name="Picture 42" descr="S:\Groups\PPM\Employer Workforce Diversity\Employer Survey\Analysis\Q8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Groups\PPM\Employer Workforce Diversity\Employer Survey\Analysis\Q8Map.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76625" cy="4210050"/>
                    </a:xfrm>
                    <a:prstGeom prst="rect">
                      <a:avLst/>
                    </a:prstGeom>
                    <a:noFill/>
                    <a:ln>
                      <a:noFill/>
                    </a:ln>
                  </pic:spPr>
                </pic:pic>
              </a:graphicData>
            </a:graphic>
          </wp:anchor>
        </w:drawing>
      </w:r>
    </w:p>
    <w:p w:rsidR="00686761" w:rsidRDefault="00686761">
      <w:pPr>
        <w:rPr>
          <w:b/>
        </w:rPr>
      </w:pPr>
      <w:r>
        <w:rPr>
          <w:b/>
        </w:rPr>
        <w:br w:type="page"/>
      </w:r>
    </w:p>
    <w:p w:rsidR="002429C2" w:rsidRDefault="002429C2" w:rsidP="00BB3550">
      <w:r>
        <w:rPr>
          <w:b/>
        </w:rPr>
        <w:lastRenderedPageBreak/>
        <w:t>The regional landscape of diversity in Minnesota affects how employers approach diversity.</w:t>
      </w:r>
      <w:r>
        <w:t xml:space="preserve"> Employers in Northwest and Southwest Minnesota are much less likely to report that they would increase racial diversity to </w:t>
      </w:r>
      <w:r w:rsidR="002F7486">
        <w:t>improve racial equity (</w:t>
      </w:r>
      <w:r w:rsidR="002F7486" w:rsidRPr="007A2294">
        <w:t>Figure 18</w:t>
      </w:r>
      <w:r>
        <w:t xml:space="preserve">). This suggests that some of the </w:t>
      </w:r>
      <w:r w:rsidR="00EE663E">
        <w:t xml:space="preserve">business </w:t>
      </w:r>
      <w:r>
        <w:t xml:space="preserve">rationales </w:t>
      </w:r>
      <w:r w:rsidR="00EE663E">
        <w:t xml:space="preserve">to increase diversity </w:t>
      </w:r>
      <w:r>
        <w:t>will be more salient in some regions than in others.</w:t>
      </w:r>
    </w:p>
    <w:p w:rsidR="00BB3550" w:rsidRPr="00AB5483" w:rsidRDefault="00EE663E" w:rsidP="00EE663E">
      <w:r>
        <w:t>Efforts to diversity vary widely by firm size as well (Figure 19).</w:t>
      </w:r>
      <w:r w:rsidR="00BB3550">
        <w:t xml:space="preserve"> </w:t>
      </w:r>
      <w:r w:rsidR="00BB3550" w:rsidRPr="00AB5483">
        <w:rPr>
          <w:b/>
        </w:rPr>
        <w:t>Nearly four in five large employers in Minnesota are seeking to increase their workforce diversity, but fewer than two in five small employers are: a striking 50 percentage point divide.</w:t>
      </w:r>
    </w:p>
    <w:p w:rsidR="000B37E9" w:rsidRDefault="007A2294">
      <w:pPr>
        <w:rPr>
          <w:b/>
        </w:rPr>
      </w:pPr>
      <w:r>
        <w:rPr>
          <w:noProof/>
        </w:rPr>
        <w:drawing>
          <wp:anchor distT="0" distB="0" distL="114300" distR="114300" simplePos="0" relativeHeight="251717632" behindDoc="0" locked="0" layoutInCell="1" allowOverlap="1" wp14:anchorId="5510390E" wp14:editId="6A699E7B">
            <wp:simplePos x="0" y="0"/>
            <wp:positionH relativeFrom="margin">
              <wp:align>right</wp:align>
            </wp:positionH>
            <wp:positionV relativeFrom="paragraph">
              <wp:posOffset>377190</wp:posOffset>
            </wp:positionV>
            <wp:extent cx="4675505" cy="3752215"/>
            <wp:effectExtent l="0" t="0" r="10795" b="635"/>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764736" behindDoc="0" locked="0" layoutInCell="1" allowOverlap="1">
            <wp:simplePos x="0" y="0"/>
            <wp:positionH relativeFrom="column">
              <wp:posOffset>57150</wp:posOffset>
            </wp:positionH>
            <wp:positionV relativeFrom="paragraph">
              <wp:posOffset>330835</wp:posOffset>
            </wp:positionV>
            <wp:extent cx="3200400" cy="3838575"/>
            <wp:effectExtent l="0" t="0" r="0" b="9525"/>
            <wp:wrapSquare wrapText="bothSides"/>
            <wp:docPr id="43" name="Picture 43" descr="S:\Groups\PPM\Employer Workforce Diversity\Employer Survey\Analysis\Q11Equity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Groups\PPM\Employer Workforce Diversity\Employer Survey\Analysis\Q11EquityMap.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00400" cy="3838575"/>
                    </a:xfrm>
                    <a:prstGeom prst="rect">
                      <a:avLst/>
                    </a:prstGeom>
                    <a:noFill/>
                    <a:ln>
                      <a:noFill/>
                    </a:ln>
                  </pic:spPr>
                </pic:pic>
              </a:graphicData>
            </a:graphic>
          </wp:anchor>
        </w:drawing>
      </w:r>
      <w:r w:rsidR="000B37E9">
        <w:rPr>
          <w:b/>
        </w:rPr>
        <w:br w:type="page"/>
      </w:r>
    </w:p>
    <w:p w:rsidR="002429C2" w:rsidRDefault="00EE663E" w:rsidP="002429C2">
      <w:r>
        <w:lastRenderedPageBreak/>
        <w:t>C</w:t>
      </w:r>
      <w:r w:rsidRPr="00A6211F">
        <w:t xml:space="preserve">onsistent with </w:t>
      </w:r>
      <w:r>
        <w:t>the</w:t>
      </w:r>
      <w:r w:rsidRPr="00A6211F">
        <w:t xml:space="preserve"> finding that only about one in four small firms report that they are actively seeking to increase the racial diversity of their workforce</w:t>
      </w:r>
      <w:r>
        <w:t>,</w:t>
      </w:r>
      <w:r w:rsidRPr="00615272">
        <w:rPr>
          <w:b/>
        </w:rPr>
        <w:t xml:space="preserve"> </w:t>
      </w:r>
      <w:r>
        <w:rPr>
          <w:b/>
        </w:rPr>
        <w:t>s</w:t>
      </w:r>
      <w:r w:rsidR="002429C2" w:rsidRPr="00615272">
        <w:rPr>
          <w:b/>
        </w:rPr>
        <w:t xml:space="preserve">mall firms are significantly less likely </w:t>
      </w:r>
      <w:r w:rsidR="002429C2">
        <w:rPr>
          <w:b/>
        </w:rPr>
        <w:t xml:space="preserve">than large firms </w:t>
      </w:r>
      <w:r w:rsidR="002429C2" w:rsidRPr="00615272">
        <w:rPr>
          <w:b/>
        </w:rPr>
        <w:t xml:space="preserve">to agree with any of the provided reasons </w:t>
      </w:r>
      <w:r w:rsidR="002429C2">
        <w:rPr>
          <w:b/>
        </w:rPr>
        <w:t>for increasing</w:t>
      </w:r>
      <w:r w:rsidR="002429C2" w:rsidRPr="00615272">
        <w:rPr>
          <w:b/>
        </w:rPr>
        <w:t xml:space="preserve"> the racial diversity of their workforce (</w:t>
      </w:r>
      <w:r w:rsidR="002429C2">
        <w:rPr>
          <w:b/>
        </w:rPr>
        <w:t xml:space="preserve">Figure </w:t>
      </w:r>
      <w:r w:rsidR="003253B7">
        <w:rPr>
          <w:b/>
        </w:rPr>
        <w:t>20</w:t>
      </w:r>
      <w:r w:rsidR="002429C2" w:rsidRPr="00615272">
        <w:rPr>
          <w:b/>
        </w:rPr>
        <w:t>)</w:t>
      </w:r>
      <w:r w:rsidR="002429C2" w:rsidRPr="00A6211F">
        <w:t xml:space="preserve">. </w:t>
      </w:r>
      <w:r w:rsidR="002429C2">
        <w:t>Even among small businesses, though, over half agree that they would increase the racial diversity of their workforce to attract the best applicants.</w:t>
      </w:r>
    </w:p>
    <w:p w:rsidR="002429C2" w:rsidRDefault="002429C2" w:rsidP="002429C2">
      <w:r>
        <w:rPr>
          <w:noProof/>
        </w:rPr>
        <w:drawing>
          <wp:anchor distT="0" distB="0" distL="114300" distR="114300" simplePos="0" relativeHeight="251730944" behindDoc="0" locked="0" layoutInCell="1" allowOverlap="1" wp14:anchorId="3E8513AB" wp14:editId="12504BD5">
            <wp:simplePos x="0" y="0"/>
            <wp:positionH relativeFrom="margin">
              <wp:align>left</wp:align>
            </wp:positionH>
            <wp:positionV relativeFrom="paragraph">
              <wp:posOffset>314960</wp:posOffset>
            </wp:positionV>
            <wp:extent cx="8134350" cy="3962400"/>
            <wp:effectExtent l="0" t="0" r="0" b="0"/>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2429C2" w:rsidRDefault="002429C2"/>
    <w:p w:rsidR="002429C2" w:rsidRDefault="00417EA8" w:rsidP="002429C2">
      <w:r>
        <w:rPr>
          <w:noProof/>
        </w:rPr>
        <w:lastRenderedPageBreak/>
        <w:drawing>
          <wp:anchor distT="0" distB="0" distL="114300" distR="114300" simplePos="0" relativeHeight="251737088" behindDoc="0" locked="0" layoutInCell="1" allowOverlap="1" wp14:anchorId="774E5FDC" wp14:editId="14C064E0">
            <wp:simplePos x="0" y="0"/>
            <wp:positionH relativeFrom="margin">
              <wp:align>right</wp:align>
            </wp:positionH>
            <wp:positionV relativeFrom="paragraph">
              <wp:posOffset>0</wp:posOffset>
            </wp:positionV>
            <wp:extent cx="4023360" cy="3298825"/>
            <wp:effectExtent l="0" t="0" r="15240" b="15875"/>
            <wp:wrapTopAndBottom/>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6064" behindDoc="0" locked="0" layoutInCell="1" allowOverlap="1" wp14:anchorId="33EA92DC" wp14:editId="4910BF37">
            <wp:simplePos x="0" y="0"/>
            <wp:positionH relativeFrom="margin">
              <wp:align>left</wp:align>
            </wp:positionH>
            <wp:positionV relativeFrom="paragraph">
              <wp:posOffset>0</wp:posOffset>
            </wp:positionV>
            <wp:extent cx="4023360" cy="3298825"/>
            <wp:effectExtent l="0" t="0" r="15240" b="1587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rsidR="002429C2" w:rsidRDefault="002429C2" w:rsidP="002429C2">
      <w:r w:rsidRPr="00B875AE">
        <w:rPr>
          <w:b/>
        </w:rPr>
        <w:t xml:space="preserve">Education Services, Construction, and Government employers are significantly more likely than those in other industries to report that </w:t>
      </w:r>
      <w:r w:rsidRPr="00E7642E">
        <w:rPr>
          <w:b/>
          <w:i/>
        </w:rPr>
        <w:t xml:space="preserve">their industry </w:t>
      </w:r>
      <w:r w:rsidRPr="00B875AE">
        <w:rPr>
          <w:b/>
        </w:rPr>
        <w:t>is trying to diversify their entry-level workforce</w:t>
      </w:r>
      <w:r>
        <w:rPr>
          <w:b/>
        </w:rPr>
        <w:t xml:space="preserve"> (Figure </w:t>
      </w:r>
      <w:r w:rsidR="003253B7">
        <w:rPr>
          <w:b/>
        </w:rPr>
        <w:t>21</w:t>
      </w:r>
      <w:r>
        <w:rPr>
          <w:b/>
        </w:rPr>
        <w:t>)</w:t>
      </w:r>
      <w:r w:rsidRPr="00B875AE">
        <w:rPr>
          <w:b/>
        </w:rPr>
        <w:t>.</w:t>
      </w:r>
      <w:r>
        <w:t xml:space="preserve"> Each of these three industries has seen public pressure to increase diversity where public funds are involved.</w:t>
      </w:r>
    </w:p>
    <w:p w:rsidR="002429C2" w:rsidRDefault="002429C2" w:rsidP="002429C2">
      <w:r>
        <w:t xml:space="preserve">In each industry, employers report that </w:t>
      </w:r>
      <w:r w:rsidRPr="009B3410">
        <w:rPr>
          <w:b/>
        </w:rPr>
        <w:t>they</w:t>
      </w:r>
      <w:r>
        <w:t xml:space="preserve"> are trying to increase racial diversity at a higher rate than </w:t>
      </w:r>
      <w:r w:rsidRPr="009B3410">
        <w:rPr>
          <w:b/>
        </w:rPr>
        <w:t>other employers in their industry</w:t>
      </w:r>
      <w:r>
        <w:rPr>
          <w:b/>
        </w:rPr>
        <w:t xml:space="preserve"> </w:t>
      </w:r>
      <w:r>
        <w:t xml:space="preserve">(Figure </w:t>
      </w:r>
      <w:r w:rsidR="003253B7">
        <w:t>22</w:t>
      </w:r>
      <w:r>
        <w:t>). The two questions have two different sources of potential bias in opposite directions: a potential lack of knowledge about other employers’ efforts gives us a likely lower bound, while the tendency to</w:t>
      </w:r>
      <w:r w:rsidR="000C0E3E">
        <w:t xml:space="preserve"> over-</w:t>
      </w:r>
      <w:r>
        <w:t>report their own efforts gives us a likely upper bound, on a true rate.</w:t>
      </w:r>
    </w:p>
    <w:p w:rsidR="00BB3550" w:rsidRDefault="002429C2" w:rsidP="002429C2">
      <w:pPr>
        <w:rPr>
          <w:rFonts w:asciiTheme="majorHAnsi" w:eastAsiaTheme="majorEastAsia" w:hAnsiTheme="majorHAnsi" w:cstheme="majorBidi"/>
          <w:color w:val="404040" w:themeColor="text1" w:themeTint="BF"/>
          <w:sz w:val="32"/>
          <w:szCs w:val="32"/>
        </w:rPr>
      </w:pPr>
      <w:r>
        <w:t xml:space="preserve">Once again, Education Services and Government employers stand out: they have the closest rate between the two questions, with a </w:t>
      </w:r>
      <w:r w:rsidR="00F8735A">
        <w:t>two</w:t>
      </w:r>
      <w:r>
        <w:t xml:space="preserve"> and </w:t>
      </w:r>
      <w:r w:rsidR="00F8735A">
        <w:t>five</w:t>
      </w:r>
      <w:bookmarkStart w:id="0" w:name="_GoBack"/>
      <w:bookmarkEnd w:id="0"/>
      <w:r>
        <w:t xml:space="preserve"> percentage point differential in entry-level diversity efforts (respectively) compared to 17 to 26 percentage point differential among </w:t>
      </w:r>
      <w:r w:rsidR="007F65A3">
        <w:t>all other industries</w:t>
      </w:r>
      <w:r>
        <w:t>. Government and Education Services employers may have stronger networks and therefore better information sharing around diversity efforts.</w:t>
      </w:r>
      <w:r>
        <w:rPr>
          <w:b/>
        </w:rPr>
        <w:br w:type="page"/>
      </w:r>
    </w:p>
    <w:p w:rsidR="00185373" w:rsidRDefault="001577E1" w:rsidP="001577E1">
      <w:pPr>
        <w:pStyle w:val="Heading1"/>
      </w:pPr>
      <w:r>
        <w:lastRenderedPageBreak/>
        <w:t>How are employers managing the diversity of their current workforce?</w:t>
      </w:r>
    </w:p>
    <w:p w:rsidR="006D196D" w:rsidRDefault="00A27D13">
      <w:r>
        <w:rPr>
          <w:noProof/>
        </w:rPr>
        <w:drawing>
          <wp:anchor distT="0" distB="0" distL="114300" distR="114300" simplePos="0" relativeHeight="251757568" behindDoc="0" locked="0" layoutInCell="1" allowOverlap="1">
            <wp:simplePos x="0" y="0"/>
            <wp:positionH relativeFrom="margin">
              <wp:align>right</wp:align>
            </wp:positionH>
            <wp:positionV relativeFrom="paragraph">
              <wp:posOffset>922655</wp:posOffset>
            </wp:positionV>
            <wp:extent cx="8229600" cy="2286000"/>
            <wp:effectExtent l="0" t="0" r="0" b="0"/>
            <wp:wrapSquare wrapText="bothSides"/>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3376930</wp:posOffset>
            </wp:positionV>
            <wp:extent cx="8229600" cy="2286000"/>
            <wp:effectExtent l="0" t="0" r="0" b="0"/>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726F1D">
        <w:t xml:space="preserve">The academic and business literature on best practices in managing workforce diversity identifies multiple strategies; </w:t>
      </w:r>
      <w:r w:rsidR="00AB5483">
        <w:t>this survey included</w:t>
      </w:r>
      <w:r w:rsidR="00726F1D">
        <w:t xml:space="preserve"> ten</w:t>
      </w:r>
      <w:r w:rsidR="00EE361C">
        <w:t xml:space="preserve"> that cover a range of </w:t>
      </w:r>
      <w:r w:rsidR="001051B5">
        <w:t>strategy are</w:t>
      </w:r>
      <w:r w:rsidR="0020021E">
        <w:t xml:space="preserve">as, from hiring to retention to </w:t>
      </w:r>
      <w:r w:rsidR="001B35E3">
        <w:t xml:space="preserve">staffing </w:t>
      </w:r>
      <w:r w:rsidR="0020021E">
        <w:t>organization</w:t>
      </w:r>
      <w:r w:rsidR="00726F1D">
        <w:t xml:space="preserve">. </w:t>
      </w:r>
      <w:r w:rsidR="00726F1D" w:rsidRPr="00726F1D">
        <w:rPr>
          <w:b/>
        </w:rPr>
        <w:t>80 percent of employers are engaging in at least one best practi</w:t>
      </w:r>
      <w:r w:rsidR="00816E89">
        <w:rPr>
          <w:b/>
        </w:rPr>
        <w:t>ce in recruitment and retention,</w:t>
      </w:r>
      <w:r w:rsidR="00816E89">
        <w:t xml:space="preserve"> most commonly by ensuring that the stated minimum qualifications are truly required and by paying for the professional development of employees</w:t>
      </w:r>
      <w:r w:rsidR="00E868F3">
        <w:t xml:space="preserve"> (</w:t>
      </w:r>
      <w:r w:rsidR="00A96797">
        <w:t>Figure</w:t>
      </w:r>
      <w:r w:rsidR="00E868F3">
        <w:t xml:space="preserve"> </w:t>
      </w:r>
      <w:r w:rsidR="003253B7">
        <w:t>2</w:t>
      </w:r>
      <w:r w:rsidR="00E868F3">
        <w:t>3)</w:t>
      </w:r>
      <w:r w:rsidR="00816E89">
        <w:t>.</w:t>
      </w:r>
    </w:p>
    <w:p w:rsidR="00DD7E4A" w:rsidRDefault="007B58A3" w:rsidP="0011375D">
      <w:r>
        <w:rPr>
          <w:b/>
          <w:noProof/>
        </w:rPr>
        <w:lastRenderedPageBreak/>
        <w:drawing>
          <wp:anchor distT="0" distB="0" distL="114300" distR="114300" simplePos="0" relativeHeight="251765760" behindDoc="0" locked="0" layoutInCell="1" allowOverlap="1">
            <wp:simplePos x="0" y="0"/>
            <wp:positionH relativeFrom="margin">
              <wp:align>right</wp:align>
            </wp:positionH>
            <wp:positionV relativeFrom="paragraph">
              <wp:posOffset>9525</wp:posOffset>
            </wp:positionV>
            <wp:extent cx="3200400" cy="3657600"/>
            <wp:effectExtent l="0" t="0" r="0" b="0"/>
            <wp:wrapSquare wrapText="bothSides"/>
            <wp:docPr id="44" name="Picture 44" descr="S:\Groups\PPM\Employer Workforce Diversity\Employer Survey\Analysis\Q12Hiring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Groups\PPM\Employer Workforce Diversity\Employer Survey\Analysis\Q12HiringMap.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00400" cy="3657600"/>
                    </a:xfrm>
                    <a:prstGeom prst="rect">
                      <a:avLst/>
                    </a:prstGeom>
                    <a:noFill/>
                    <a:ln>
                      <a:noFill/>
                    </a:ln>
                  </pic:spPr>
                </pic:pic>
              </a:graphicData>
            </a:graphic>
          </wp:anchor>
        </w:drawing>
      </w:r>
      <w:r w:rsidR="001B35E3">
        <w:rPr>
          <w:b/>
        </w:rPr>
        <w:t>Nearly</w:t>
      </w:r>
      <w:r w:rsidR="00816E89">
        <w:rPr>
          <w:b/>
        </w:rPr>
        <w:t xml:space="preserve"> half of employers are engaging in higher-level leadership best practices </w:t>
      </w:r>
      <w:r w:rsidR="00816E89" w:rsidRPr="00816E89">
        <w:t xml:space="preserve">which ensure that a commitment to diversity </w:t>
      </w:r>
      <w:r w:rsidR="00816E89">
        <w:t>has been included in the employer’s strategic direction</w:t>
      </w:r>
      <w:r w:rsidR="00E868F3">
        <w:t xml:space="preserve"> (</w:t>
      </w:r>
      <w:r w:rsidR="00A96797">
        <w:t>Figure</w:t>
      </w:r>
      <w:r w:rsidR="00E868F3">
        <w:t xml:space="preserve"> </w:t>
      </w:r>
      <w:r w:rsidR="003253B7">
        <w:t>2</w:t>
      </w:r>
      <w:r w:rsidR="00E868F3">
        <w:t>4</w:t>
      </w:r>
      <w:r>
        <w:t>, previous page</w:t>
      </w:r>
      <w:r w:rsidR="00E868F3">
        <w:t>)</w:t>
      </w:r>
      <w:r w:rsidR="00816E89">
        <w:t>.</w:t>
      </w:r>
      <w:r w:rsidR="00081174">
        <w:t xml:space="preserve"> The most common best practice in this group is senior leadership communicating a commitment to diversity which, although it is “only talk”, set</w:t>
      </w:r>
      <w:r w:rsidR="001B35E3">
        <w:t>s</w:t>
      </w:r>
      <w:r w:rsidR="00081174">
        <w:t xml:space="preserve"> the tone for the organization</w:t>
      </w:r>
      <w:r w:rsidR="001B35E3">
        <w:t xml:space="preserve"> and effectively acts as a prerequisite for other management activities</w:t>
      </w:r>
      <w:r w:rsidR="00081174">
        <w:t>.</w:t>
      </w:r>
      <w:r w:rsidR="00D8677A">
        <w:t xml:space="preserve"> </w:t>
      </w:r>
    </w:p>
    <w:p w:rsidR="00D8677A" w:rsidRPr="00D8677A" w:rsidRDefault="002429C2" w:rsidP="002429C2">
      <w:r>
        <w:t xml:space="preserve">Additionally, some recruitment best practices to increase workforce diversity depend on a minimum threshold of diversity in the available labor pool, including attending hiring events focused on people of color. Indeed, this strategy is most common among </w:t>
      </w:r>
      <w:proofErr w:type="gramStart"/>
      <w:r>
        <w:t>Twin Cities</w:t>
      </w:r>
      <w:proofErr w:type="gramEnd"/>
      <w:r>
        <w:t xml:space="preserve"> employers (Figure </w:t>
      </w:r>
      <w:r w:rsidR="003253B7">
        <w:t>25</w:t>
      </w:r>
      <w:r>
        <w:t>).</w:t>
      </w:r>
      <w:r w:rsidRPr="004D4B79">
        <w:rPr>
          <w:b/>
        </w:rPr>
        <w:t xml:space="preserve"> </w:t>
      </w:r>
      <w:r w:rsidRPr="00FB7A0E">
        <w:rPr>
          <w:b/>
        </w:rPr>
        <w:t>This highlights the need to view workforce diversity relative to the employer’s location within Minnesota</w:t>
      </w:r>
      <w:r>
        <w:rPr>
          <w:b/>
        </w:rPr>
        <w:t xml:space="preserve"> and adjust strategies accordingly</w:t>
      </w:r>
      <w:r w:rsidRPr="00FB7A0E">
        <w:rPr>
          <w:b/>
        </w:rPr>
        <w:t>.</w:t>
      </w:r>
    </w:p>
    <w:p w:rsidR="00D8677A" w:rsidRDefault="002429C2" w:rsidP="002429C2">
      <w:r w:rsidRPr="00615272">
        <w:rPr>
          <w:b/>
        </w:rPr>
        <w:t>Small firms are significantly less likely to engage in the best practices in managing diversity suggested by business and academic literature</w:t>
      </w:r>
      <w:r>
        <w:t xml:space="preserve"> </w:t>
      </w:r>
      <w:r w:rsidRPr="001A365D">
        <w:rPr>
          <w:b/>
        </w:rPr>
        <w:t>(</w:t>
      </w:r>
      <w:r>
        <w:rPr>
          <w:b/>
        </w:rPr>
        <w:t xml:space="preserve">Figures </w:t>
      </w:r>
      <w:r w:rsidR="004D6D8D">
        <w:rPr>
          <w:b/>
        </w:rPr>
        <w:t>26</w:t>
      </w:r>
      <w:r>
        <w:rPr>
          <w:b/>
        </w:rPr>
        <w:t xml:space="preserve"> and </w:t>
      </w:r>
      <w:r w:rsidR="004D6D8D">
        <w:rPr>
          <w:b/>
        </w:rPr>
        <w:t>27</w:t>
      </w:r>
      <w:r w:rsidR="007B58A3">
        <w:rPr>
          <w:b/>
        </w:rPr>
        <w:t>, next page</w:t>
      </w:r>
      <w:r w:rsidRPr="001A365D">
        <w:rPr>
          <w:b/>
        </w:rPr>
        <w:t>).</w:t>
      </w:r>
      <w:r>
        <w:t xml:space="preserve"> It is important to note that these best practices tend to be discussed and recommended in the context of large corporations; very little of the literature addresses smaller businesses. It may be that small firms are effectively managing their workforce diversity using other practices not included in the survey. Small businesses are relatively more likely to support a formal mentoring program among employees than participate in hiring events focused on people of color or make diversity training available to all employees, distinct from large employers. Mentoring is not explicitly about diversity, which may account for this trend.</w:t>
      </w:r>
    </w:p>
    <w:p w:rsidR="000B37E9" w:rsidRDefault="007F65A3" w:rsidP="002429C2">
      <w:r>
        <w:rPr>
          <w:noProof/>
        </w:rPr>
        <w:lastRenderedPageBreak/>
        <w:drawing>
          <wp:anchor distT="0" distB="0" distL="114300" distR="114300" simplePos="0" relativeHeight="251756544" behindDoc="0" locked="0" layoutInCell="1" allowOverlap="1">
            <wp:simplePos x="0" y="0"/>
            <wp:positionH relativeFrom="margin">
              <wp:align>right</wp:align>
            </wp:positionH>
            <wp:positionV relativeFrom="paragraph">
              <wp:posOffset>161925</wp:posOffset>
            </wp:positionV>
            <wp:extent cx="8229600" cy="2743200"/>
            <wp:effectExtent l="0" t="0" r="0" b="0"/>
            <wp:wrapSquare wrapText="bothSides"/>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C5411B">
        <w:rPr>
          <w:noProof/>
        </w:rPr>
        <w:drawing>
          <wp:anchor distT="0" distB="0" distL="114300" distR="114300" simplePos="0" relativeHeight="251755520" behindDoc="0" locked="0" layoutInCell="1" allowOverlap="1">
            <wp:simplePos x="0" y="0"/>
            <wp:positionH relativeFrom="margin">
              <wp:align>right</wp:align>
            </wp:positionH>
            <wp:positionV relativeFrom="paragraph">
              <wp:posOffset>3172460</wp:posOffset>
            </wp:positionV>
            <wp:extent cx="8229600" cy="2743200"/>
            <wp:effectExtent l="0" t="0" r="0" b="0"/>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tbl>
      <w:tblPr>
        <w:tblW w:w="12832" w:type="dxa"/>
        <w:tblLook w:val="04A0" w:firstRow="1" w:lastRow="0" w:firstColumn="1" w:lastColumn="0" w:noHBand="0" w:noVBand="1"/>
      </w:tblPr>
      <w:tblGrid>
        <w:gridCol w:w="3522"/>
        <w:gridCol w:w="1176"/>
        <w:gridCol w:w="1432"/>
        <w:gridCol w:w="1001"/>
        <w:gridCol w:w="1108"/>
        <w:gridCol w:w="1353"/>
        <w:gridCol w:w="1001"/>
        <w:gridCol w:w="1176"/>
        <w:gridCol w:w="1063"/>
      </w:tblGrid>
      <w:tr w:rsidR="00523E14" w:rsidRPr="00590BB5" w:rsidTr="00FD6DA9">
        <w:trPr>
          <w:trHeight w:val="305"/>
        </w:trPr>
        <w:tc>
          <w:tcPr>
            <w:tcW w:w="12832" w:type="dxa"/>
            <w:gridSpan w:val="9"/>
            <w:tcBorders>
              <w:top w:val="nil"/>
              <w:left w:val="nil"/>
              <w:bottom w:val="nil"/>
              <w:right w:val="nil"/>
            </w:tcBorders>
            <w:shd w:val="clear" w:color="auto" w:fill="auto"/>
            <w:noWrap/>
            <w:vAlign w:val="bottom"/>
            <w:hideMark/>
          </w:tcPr>
          <w:p w:rsidR="00523E14" w:rsidRPr="00590BB5" w:rsidRDefault="00523E14" w:rsidP="0056787B">
            <w:pPr>
              <w:spacing w:after="0" w:line="240" w:lineRule="auto"/>
              <w:rPr>
                <w:rFonts w:ascii="Times New Roman" w:eastAsia="Times New Roman" w:hAnsi="Times New Roman" w:cs="Times New Roman"/>
                <w:sz w:val="20"/>
                <w:szCs w:val="20"/>
              </w:rPr>
            </w:pPr>
            <w:r>
              <w:rPr>
                <w:rFonts w:ascii="Calibri" w:eastAsia="Times New Roman" w:hAnsi="Calibri" w:cs="Times New Roman"/>
                <w:b/>
                <w:bCs/>
                <w:color w:val="000000"/>
              </w:rPr>
              <w:lastRenderedPageBreak/>
              <w:t xml:space="preserve">Table 2. </w:t>
            </w:r>
            <w:r w:rsidRPr="00590BB5">
              <w:rPr>
                <w:rFonts w:ascii="Calibri" w:eastAsia="Times New Roman" w:hAnsi="Calibri" w:cs="Times New Roman"/>
                <w:b/>
                <w:bCs/>
                <w:color w:val="000000"/>
              </w:rPr>
              <w:t>Percent agreeing with the following reasons to increase the racial diversity of their workforce</w:t>
            </w:r>
            <w:r>
              <w:rPr>
                <w:rFonts w:ascii="Calibri" w:eastAsia="Times New Roman" w:hAnsi="Calibri" w:cs="Times New Roman"/>
                <w:b/>
                <w:bCs/>
                <w:color w:val="000000"/>
              </w:rPr>
              <w:t>, by industry</w:t>
            </w:r>
          </w:p>
        </w:tc>
      </w:tr>
      <w:tr w:rsidR="00C546BA" w:rsidRPr="00590BB5" w:rsidTr="00E065E4">
        <w:trPr>
          <w:trHeight w:val="1242"/>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To attract the best applicants</w:t>
            </w:r>
          </w:p>
        </w:tc>
        <w:tc>
          <w:tcPr>
            <w:tcW w:w="1432"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To improve work environment or culture</w:t>
            </w:r>
          </w:p>
        </w:tc>
        <w:tc>
          <w:tcPr>
            <w:tcW w:w="1001"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To improve racial equity</w:t>
            </w:r>
          </w:p>
        </w:tc>
        <w:tc>
          <w:tcPr>
            <w:tcW w:w="1108"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To increase customer appeal</w:t>
            </w:r>
          </w:p>
        </w:tc>
        <w:tc>
          <w:tcPr>
            <w:tcW w:w="1353"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To increase employee productivity</w:t>
            </w:r>
          </w:p>
        </w:tc>
        <w:tc>
          <w:tcPr>
            <w:tcW w:w="1001"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Other - Write In</w:t>
            </w:r>
          </w:p>
        </w:tc>
        <w:tc>
          <w:tcPr>
            <w:tcW w:w="1176"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Not applicable</w:t>
            </w:r>
          </w:p>
        </w:tc>
        <w:tc>
          <w:tcPr>
            <w:tcW w:w="1063" w:type="dxa"/>
            <w:tcBorders>
              <w:top w:val="nil"/>
              <w:left w:val="nil"/>
              <w:bottom w:val="nil"/>
              <w:right w:val="nil"/>
            </w:tcBorders>
            <w:shd w:val="clear" w:color="auto" w:fill="auto"/>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Unsure/ don't know</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Other Services</w:t>
            </w:r>
          </w:p>
        </w:tc>
        <w:tc>
          <w:tcPr>
            <w:tcW w:w="1176" w:type="dxa"/>
            <w:tcBorders>
              <w:top w:val="nil"/>
              <w:left w:val="nil"/>
              <w:bottom w:val="nil"/>
              <w:right w:val="nil"/>
            </w:tcBorders>
            <w:shd w:val="clear" w:color="000000" w:fill="78BE20"/>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72%</w:t>
            </w:r>
          </w:p>
        </w:tc>
        <w:tc>
          <w:tcPr>
            <w:tcW w:w="1432" w:type="dxa"/>
            <w:tcBorders>
              <w:top w:val="nil"/>
              <w:left w:val="nil"/>
              <w:bottom w:val="nil"/>
              <w:right w:val="nil"/>
            </w:tcBorders>
            <w:shd w:val="clear" w:color="000000" w:fill="9ACF5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55%</w:t>
            </w:r>
          </w:p>
        </w:tc>
        <w:tc>
          <w:tcPr>
            <w:tcW w:w="1001" w:type="dxa"/>
            <w:tcBorders>
              <w:top w:val="nil"/>
              <w:left w:val="nil"/>
              <w:bottom w:val="nil"/>
              <w:right w:val="nil"/>
            </w:tcBorders>
            <w:shd w:val="clear" w:color="000000" w:fill="A3D366"/>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51%</w:t>
            </w:r>
          </w:p>
        </w:tc>
        <w:tc>
          <w:tcPr>
            <w:tcW w:w="1108" w:type="dxa"/>
            <w:tcBorders>
              <w:top w:val="nil"/>
              <w:left w:val="nil"/>
              <w:bottom w:val="nil"/>
              <w:right w:val="nil"/>
            </w:tcBorders>
            <w:shd w:val="clear" w:color="000000" w:fill="CDE7A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30%</w:t>
            </w:r>
          </w:p>
        </w:tc>
        <w:tc>
          <w:tcPr>
            <w:tcW w:w="1353" w:type="dxa"/>
            <w:tcBorders>
              <w:top w:val="nil"/>
              <w:left w:val="nil"/>
              <w:bottom w:val="nil"/>
              <w:right w:val="nil"/>
            </w:tcBorders>
            <w:shd w:val="clear" w:color="000000" w:fill="EFF7E4"/>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13%</w:t>
            </w:r>
          </w:p>
        </w:tc>
        <w:tc>
          <w:tcPr>
            <w:tcW w:w="1001" w:type="dxa"/>
            <w:tcBorders>
              <w:top w:val="nil"/>
              <w:left w:val="nil"/>
              <w:bottom w:val="nil"/>
              <w:right w:val="nil"/>
            </w:tcBorders>
            <w:shd w:val="clear" w:color="000000" w:fill="FFFFF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4%</w:t>
            </w:r>
          </w:p>
        </w:tc>
        <w:tc>
          <w:tcPr>
            <w:tcW w:w="1176" w:type="dxa"/>
            <w:tcBorders>
              <w:top w:val="nil"/>
              <w:left w:val="nil"/>
              <w:bottom w:val="nil"/>
              <w:right w:val="nil"/>
            </w:tcBorders>
            <w:shd w:val="clear" w:color="000000" w:fill="F7FBF2"/>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9%</w:t>
            </w:r>
          </w:p>
        </w:tc>
        <w:tc>
          <w:tcPr>
            <w:tcW w:w="1063" w:type="dxa"/>
            <w:tcBorders>
              <w:top w:val="nil"/>
              <w:left w:val="nil"/>
              <w:bottom w:val="nil"/>
              <w:right w:val="nil"/>
            </w:tcBorders>
            <w:shd w:val="clear" w:color="000000" w:fill="F7FBF2"/>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9%</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Government</w:t>
            </w:r>
          </w:p>
        </w:tc>
        <w:tc>
          <w:tcPr>
            <w:tcW w:w="1176" w:type="dxa"/>
            <w:tcBorders>
              <w:top w:val="nil"/>
              <w:left w:val="nil"/>
              <w:bottom w:val="nil"/>
              <w:right w:val="nil"/>
            </w:tcBorders>
            <w:shd w:val="clear" w:color="000000" w:fill="7DC127"/>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70%</w:t>
            </w:r>
          </w:p>
        </w:tc>
        <w:tc>
          <w:tcPr>
            <w:tcW w:w="1432" w:type="dxa"/>
            <w:tcBorders>
              <w:top w:val="nil"/>
              <w:left w:val="nil"/>
              <w:bottom w:val="nil"/>
              <w:right w:val="nil"/>
            </w:tcBorders>
            <w:shd w:val="clear" w:color="000000" w:fill="A7D56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49%</w:t>
            </w:r>
          </w:p>
        </w:tc>
        <w:tc>
          <w:tcPr>
            <w:tcW w:w="1001" w:type="dxa"/>
            <w:tcBorders>
              <w:top w:val="nil"/>
              <w:left w:val="nil"/>
              <w:bottom w:val="nil"/>
              <w:right w:val="nil"/>
            </w:tcBorders>
            <w:shd w:val="clear" w:color="000000" w:fill="A2D366"/>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51%</w:t>
            </w:r>
          </w:p>
        </w:tc>
        <w:tc>
          <w:tcPr>
            <w:tcW w:w="1108" w:type="dxa"/>
            <w:tcBorders>
              <w:top w:val="nil"/>
              <w:left w:val="nil"/>
              <w:bottom w:val="nil"/>
              <w:right w:val="nil"/>
            </w:tcBorders>
            <w:shd w:val="clear" w:color="000000" w:fill="C3E39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35%</w:t>
            </w:r>
          </w:p>
        </w:tc>
        <w:tc>
          <w:tcPr>
            <w:tcW w:w="1353" w:type="dxa"/>
            <w:tcBorders>
              <w:top w:val="nil"/>
              <w:left w:val="nil"/>
              <w:bottom w:val="nil"/>
              <w:right w:val="nil"/>
            </w:tcBorders>
            <w:shd w:val="clear" w:color="000000" w:fill="D2E9B4"/>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27%</w:t>
            </w:r>
          </w:p>
        </w:tc>
        <w:tc>
          <w:tcPr>
            <w:tcW w:w="1001" w:type="dxa"/>
            <w:tcBorders>
              <w:top w:val="nil"/>
              <w:left w:val="nil"/>
              <w:bottom w:val="nil"/>
              <w:right w:val="nil"/>
            </w:tcBorders>
            <w:shd w:val="clear" w:color="000000" w:fill="FAFDF6"/>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7%</w:t>
            </w:r>
          </w:p>
        </w:tc>
        <w:tc>
          <w:tcPr>
            <w:tcW w:w="1176" w:type="dxa"/>
            <w:tcBorders>
              <w:top w:val="nil"/>
              <w:left w:val="nil"/>
              <w:bottom w:val="nil"/>
              <w:right w:val="nil"/>
            </w:tcBorders>
            <w:shd w:val="clear" w:color="000000" w:fill="F3F9EA"/>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11%</w:t>
            </w:r>
          </w:p>
        </w:tc>
        <w:tc>
          <w:tcPr>
            <w:tcW w:w="1063" w:type="dxa"/>
            <w:tcBorders>
              <w:top w:val="nil"/>
              <w:left w:val="nil"/>
              <w:bottom w:val="nil"/>
              <w:right w:val="nil"/>
            </w:tcBorders>
            <w:shd w:val="clear" w:color="000000" w:fill="F5FAE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10%</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Professional and Business Services</w:t>
            </w:r>
          </w:p>
        </w:tc>
        <w:tc>
          <w:tcPr>
            <w:tcW w:w="1176" w:type="dxa"/>
            <w:tcBorders>
              <w:top w:val="nil"/>
              <w:left w:val="nil"/>
              <w:bottom w:val="nil"/>
              <w:right w:val="nil"/>
            </w:tcBorders>
            <w:shd w:val="clear" w:color="000000" w:fill="7DC12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70%</w:t>
            </w:r>
          </w:p>
        </w:tc>
        <w:tc>
          <w:tcPr>
            <w:tcW w:w="1432" w:type="dxa"/>
            <w:tcBorders>
              <w:top w:val="nil"/>
              <w:left w:val="nil"/>
              <w:bottom w:val="nil"/>
              <w:right w:val="nil"/>
            </w:tcBorders>
            <w:shd w:val="clear" w:color="000000" w:fill="99CE57"/>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56%</w:t>
            </w:r>
          </w:p>
        </w:tc>
        <w:tc>
          <w:tcPr>
            <w:tcW w:w="1001" w:type="dxa"/>
            <w:tcBorders>
              <w:top w:val="nil"/>
              <w:left w:val="nil"/>
              <w:bottom w:val="nil"/>
              <w:right w:val="nil"/>
            </w:tcBorders>
            <w:shd w:val="clear" w:color="000000" w:fill="ABD773"/>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47%</w:t>
            </w:r>
          </w:p>
        </w:tc>
        <w:tc>
          <w:tcPr>
            <w:tcW w:w="1108" w:type="dxa"/>
            <w:tcBorders>
              <w:top w:val="nil"/>
              <w:left w:val="nil"/>
              <w:bottom w:val="nil"/>
              <w:right w:val="nil"/>
            </w:tcBorders>
            <w:shd w:val="clear" w:color="000000" w:fill="E2F1C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19%</w:t>
            </w:r>
          </w:p>
        </w:tc>
        <w:tc>
          <w:tcPr>
            <w:tcW w:w="1353" w:type="dxa"/>
            <w:tcBorders>
              <w:top w:val="nil"/>
              <w:left w:val="nil"/>
              <w:bottom w:val="nil"/>
              <w:right w:val="nil"/>
            </w:tcBorders>
            <w:shd w:val="clear" w:color="000000" w:fill="E8F4D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16%</w:t>
            </w:r>
          </w:p>
        </w:tc>
        <w:tc>
          <w:tcPr>
            <w:tcW w:w="1001" w:type="dxa"/>
            <w:tcBorders>
              <w:top w:val="nil"/>
              <w:left w:val="nil"/>
              <w:bottom w:val="nil"/>
              <w:right w:val="nil"/>
            </w:tcBorders>
            <w:shd w:val="clear" w:color="000000" w:fill="F9FCF4"/>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8%</w:t>
            </w:r>
          </w:p>
        </w:tc>
        <w:tc>
          <w:tcPr>
            <w:tcW w:w="1176" w:type="dxa"/>
            <w:tcBorders>
              <w:top w:val="nil"/>
              <w:left w:val="nil"/>
              <w:bottom w:val="nil"/>
              <w:right w:val="nil"/>
            </w:tcBorders>
            <w:shd w:val="clear" w:color="000000" w:fill="F5FAE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10%</w:t>
            </w:r>
          </w:p>
        </w:tc>
        <w:tc>
          <w:tcPr>
            <w:tcW w:w="1063" w:type="dxa"/>
            <w:tcBorders>
              <w:top w:val="nil"/>
              <w:left w:val="nil"/>
              <w:bottom w:val="nil"/>
              <w:right w:val="nil"/>
            </w:tcBorders>
            <w:shd w:val="clear" w:color="000000" w:fill="F7FBF1"/>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9%</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Health Services</w:t>
            </w:r>
          </w:p>
        </w:tc>
        <w:tc>
          <w:tcPr>
            <w:tcW w:w="1176" w:type="dxa"/>
            <w:tcBorders>
              <w:top w:val="nil"/>
              <w:left w:val="nil"/>
              <w:bottom w:val="nil"/>
              <w:right w:val="nil"/>
            </w:tcBorders>
            <w:shd w:val="clear" w:color="000000" w:fill="84C434"/>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66%</w:t>
            </w:r>
          </w:p>
        </w:tc>
        <w:tc>
          <w:tcPr>
            <w:tcW w:w="1432" w:type="dxa"/>
            <w:tcBorders>
              <w:top w:val="nil"/>
              <w:left w:val="nil"/>
              <w:bottom w:val="nil"/>
              <w:right w:val="nil"/>
            </w:tcBorders>
            <w:shd w:val="clear" w:color="000000" w:fill="B0D97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44%</w:t>
            </w:r>
          </w:p>
        </w:tc>
        <w:tc>
          <w:tcPr>
            <w:tcW w:w="1001" w:type="dxa"/>
            <w:tcBorders>
              <w:top w:val="nil"/>
              <w:left w:val="nil"/>
              <w:bottom w:val="nil"/>
              <w:right w:val="nil"/>
            </w:tcBorders>
            <w:shd w:val="clear" w:color="000000" w:fill="B6DC85"/>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42%</w:t>
            </w:r>
          </w:p>
        </w:tc>
        <w:tc>
          <w:tcPr>
            <w:tcW w:w="1108" w:type="dxa"/>
            <w:tcBorders>
              <w:top w:val="nil"/>
              <w:left w:val="nil"/>
              <w:bottom w:val="nil"/>
              <w:right w:val="nil"/>
            </w:tcBorders>
            <w:shd w:val="clear" w:color="000000" w:fill="CDE7A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30%</w:t>
            </w:r>
          </w:p>
        </w:tc>
        <w:tc>
          <w:tcPr>
            <w:tcW w:w="1353" w:type="dxa"/>
            <w:tcBorders>
              <w:top w:val="nil"/>
              <w:left w:val="nil"/>
              <w:bottom w:val="nil"/>
              <w:right w:val="nil"/>
            </w:tcBorders>
            <w:shd w:val="clear" w:color="000000" w:fill="DEEFC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21%</w:t>
            </w:r>
          </w:p>
        </w:tc>
        <w:tc>
          <w:tcPr>
            <w:tcW w:w="1001" w:type="dxa"/>
            <w:tcBorders>
              <w:top w:val="nil"/>
              <w:left w:val="nil"/>
              <w:bottom w:val="nil"/>
              <w:right w:val="nil"/>
            </w:tcBorders>
            <w:shd w:val="clear" w:color="000000" w:fill="F2F9E9"/>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11%</w:t>
            </w:r>
          </w:p>
        </w:tc>
        <w:tc>
          <w:tcPr>
            <w:tcW w:w="1176" w:type="dxa"/>
            <w:tcBorders>
              <w:top w:val="nil"/>
              <w:left w:val="nil"/>
              <w:bottom w:val="nil"/>
              <w:right w:val="nil"/>
            </w:tcBorders>
            <w:shd w:val="clear" w:color="000000" w:fill="F2F9E9"/>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11%</w:t>
            </w:r>
          </w:p>
        </w:tc>
        <w:tc>
          <w:tcPr>
            <w:tcW w:w="1063" w:type="dxa"/>
            <w:tcBorders>
              <w:top w:val="nil"/>
              <w:left w:val="nil"/>
              <w:bottom w:val="nil"/>
              <w:right w:val="nil"/>
            </w:tcBorders>
            <w:shd w:val="clear" w:color="000000" w:fill="FCFEF9"/>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Financial Activities</w:t>
            </w:r>
          </w:p>
        </w:tc>
        <w:tc>
          <w:tcPr>
            <w:tcW w:w="1176" w:type="dxa"/>
            <w:tcBorders>
              <w:top w:val="nil"/>
              <w:left w:val="nil"/>
              <w:bottom w:val="nil"/>
              <w:right w:val="nil"/>
            </w:tcBorders>
            <w:shd w:val="clear" w:color="000000" w:fill="86C537"/>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65%</w:t>
            </w:r>
          </w:p>
        </w:tc>
        <w:tc>
          <w:tcPr>
            <w:tcW w:w="1432" w:type="dxa"/>
            <w:tcBorders>
              <w:top w:val="nil"/>
              <w:left w:val="nil"/>
              <w:bottom w:val="nil"/>
              <w:right w:val="nil"/>
            </w:tcBorders>
            <w:shd w:val="clear" w:color="000000" w:fill="C3E39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35%</w:t>
            </w:r>
          </w:p>
        </w:tc>
        <w:tc>
          <w:tcPr>
            <w:tcW w:w="1001" w:type="dxa"/>
            <w:tcBorders>
              <w:top w:val="nil"/>
              <w:left w:val="nil"/>
              <w:bottom w:val="nil"/>
              <w:right w:val="nil"/>
            </w:tcBorders>
            <w:shd w:val="clear" w:color="000000" w:fill="D3EAB5"/>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27%</w:t>
            </w:r>
          </w:p>
        </w:tc>
        <w:tc>
          <w:tcPr>
            <w:tcW w:w="1108" w:type="dxa"/>
            <w:tcBorders>
              <w:top w:val="nil"/>
              <w:left w:val="nil"/>
              <w:bottom w:val="nil"/>
              <w:right w:val="nil"/>
            </w:tcBorders>
            <w:shd w:val="clear" w:color="000000" w:fill="DAEEC2"/>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23%</w:t>
            </w:r>
          </w:p>
        </w:tc>
        <w:tc>
          <w:tcPr>
            <w:tcW w:w="1353" w:type="dxa"/>
            <w:tcBorders>
              <w:top w:val="nil"/>
              <w:left w:val="nil"/>
              <w:bottom w:val="nil"/>
              <w:right w:val="nil"/>
            </w:tcBorders>
            <w:shd w:val="clear" w:color="000000" w:fill="EDF7E1"/>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13%</w:t>
            </w:r>
          </w:p>
        </w:tc>
        <w:tc>
          <w:tcPr>
            <w:tcW w:w="1001" w:type="dxa"/>
            <w:tcBorders>
              <w:top w:val="nil"/>
              <w:left w:val="nil"/>
              <w:bottom w:val="nil"/>
              <w:right w:val="nil"/>
            </w:tcBorders>
            <w:shd w:val="clear" w:color="000000" w:fill="F5FAE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10%</w:t>
            </w:r>
          </w:p>
        </w:tc>
        <w:tc>
          <w:tcPr>
            <w:tcW w:w="1176" w:type="dxa"/>
            <w:tcBorders>
              <w:top w:val="nil"/>
              <w:left w:val="nil"/>
              <w:bottom w:val="nil"/>
              <w:right w:val="nil"/>
            </w:tcBorders>
            <w:shd w:val="clear" w:color="000000" w:fill="F5FAE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10%</w:t>
            </w:r>
          </w:p>
        </w:tc>
        <w:tc>
          <w:tcPr>
            <w:tcW w:w="1063" w:type="dxa"/>
            <w:tcBorders>
              <w:top w:val="nil"/>
              <w:left w:val="nil"/>
              <w:bottom w:val="nil"/>
              <w:right w:val="nil"/>
            </w:tcBorders>
            <w:shd w:val="clear" w:color="000000" w:fill="EDF7E1"/>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13%</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Trade, Transportation, and Utilities</w:t>
            </w:r>
          </w:p>
        </w:tc>
        <w:tc>
          <w:tcPr>
            <w:tcW w:w="1176" w:type="dxa"/>
            <w:tcBorders>
              <w:top w:val="nil"/>
              <w:left w:val="nil"/>
              <w:bottom w:val="nil"/>
              <w:right w:val="nil"/>
            </w:tcBorders>
            <w:shd w:val="clear" w:color="000000" w:fill="86C53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65%</w:t>
            </w:r>
          </w:p>
        </w:tc>
        <w:tc>
          <w:tcPr>
            <w:tcW w:w="1432" w:type="dxa"/>
            <w:tcBorders>
              <w:top w:val="nil"/>
              <w:left w:val="nil"/>
              <w:bottom w:val="nil"/>
              <w:right w:val="nil"/>
            </w:tcBorders>
            <w:shd w:val="clear" w:color="000000" w:fill="BADE8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39%</w:t>
            </w:r>
          </w:p>
        </w:tc>
        <w:tc>
          <w:tcPr>
            <w:tcW w:w="1001" w:type="dxa"/>
            <w:tcBorders>
              <w:top w:val="nil"/>
              <w:left w:val="nil"/>
              <w:bottom w:val="nil"/>
              <w:right w:val="nil"/>
            </w:tcBorders>
            <w:shd w:val="clear" w:color="000000" w:fill="C3E29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35%</w:t>
            </w:r>
          </w:p>
        </w:tc>
        <w:tc>
          <w:tcPr>
            <w:tcW w:w="1108" w:type="dxa"/>
            <w:tcBorders>
              <w:top w:val="nil"/>
              <w:left w:val="nil"/>
              <w:bottom w:val="nil"/>
              <w:right w:val="nil"/>
            </w:tcBorders>
            <w:shd w:val="clear" w:color="000000" w:fill="BCDF91"/>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38%</w:t>
            </w:r>
          </w:p>
        </w:tc>
        <w:tc>
          <w:tcPr>
            <w:tcW w:w="1353" w:type="dxa"/>
            <w:tcBorders>
              <w:top w:val="nil"/>
              <w:left w:val="nil"/>
              <w:bottom w:val="nil"/>
              <w:right w:val="nil"/>
            </w:tcBorders>
            <w:shd w:val="clear" w:color="000000" w:fill="DFF0CB"/>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20%</w:t>
            </w:r>
          </w:p>
        </w:tc>
        <w:tc>
          <w:tcPr>
            <w:tcW w:w="1001" w:type="dxa"/>
            <w:tcBorders>
              <w:top w:val="nil"/>
              <w:left w:val="nil"/>
              <w:bottom w:val="nil"/>
              <w:right w:val="nil"/>
            </w:tcBorders>
            <w:shd w:val="clear" w:color="000000" w:fill="FDFEF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w:t>
            </w:r>
          </w:p>
        </w:tc>
        <w:tc>
          <w:tcPr>
            <w:tcW w:w="1176" w:type="dxa"/>
            <w:tcBorders>
              <w:top w:val="nil"/>
              <w:left w:val="nil"/>
              <w:bottom w:val="nil"/>
              <w:right w:val="nil"/>
            </w:tcBorders>
            <w:shd w:val="clear" w:color="000000" w:fill="F0F8E5"/>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12%</w:t>
            </w:r>
          </w:p>
        </w:tc>
        <w:tc>
          <w:tcPr>
            <w:tcW w:w="1063" w:type="dxa"/>
            <w:tcBorders>
              <w:top w:val="nil"/>
              <w:left w:val="nil"/>
              <w:bottom w:val="nil"/>
              <w:right w:val="nil"/>
            </w:tcBorders>
            <w:shd w:val="clear" w:color="000000" w:fill="F2F9EA"/>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11%</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Education Services</w:t>
            </w:r>
          </w:p>
        </w:tc>
        <w:tc>
          <w:tcPr>
            <w:tcW w:w="1176" w:type="dxa"/>
            <w:tcBorders>
              <w:top w:val="nil"/>
              <w:left w:val="nil"/>
              <w:bottom w:val="nil"/>
              <w:right w:val="nil"/>
            </w:tcBorders>
            <w:shd w:val="clear" w:color="000000" w:fill="87C639"/>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65%</w:t>
            </w:r>
          </w:p>
        </w:tc>
        <w:tc>
          <w:tcPr>
            <w:tcW w:w="1432" w:type="dxa"/>
            <w:tcBorders>
              <w:top w:val="nil"/>
              <w:left w:val="nil"/>
              <w:bottom w:val="nil"/>
              <w:right w:val="nil"/>
            </w:tcBorders>
            <w:shd w:val="clear" w:color="000000" w:fill="9ED15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53%</w:t>
            </w:r>
          </w:p>
        </w:tc>
        <w:tc>
          <w:tcPr>
            <w:tcW w:w="1001" w:type="dxa"/>
            <w:tcBorders>
              <w:top w:val="nil"/>
              <w:left w:val="nil"/>
              <w:bottom w:val="nil"/>
              <w:right w:val="nil"/>
            </w:tcBorders>
            <w:shd w:val="clear" w:color="000000" w:fill="92CB4A"/>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60%</w:t>
            </w:r>
          </w:p>
        </w:tc>
        <w:tc>
          <w:tcPr>
            <w:tcW w:w="1108" w:type="dxa"/>
            <w:tcBorders>
              <w:top w:val="nil"/>
              <w:left w:val="nil"/>
              <w:bottom w:val="nil"/>
              <w:right w:val="nil"/>
            </w:tcBorders>
            <w:shd w:val="clear" w:color="000000" w:fill="B8DD89"/>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40%</w:t>
            </w:r>
          </w:p>
        </w:tc>
        <w:tc>
          <w:tcPr>
            <w:tcW w:w="1353" w:type="dxa"/>
            <w:tcBorders>
              <w:top w:val="nil"/>
              <w:left w:val="nil"/>
              <w:bottom w:val="nil"/>
              <w:right w:val="nil"/>
            </w:tcBorders>
            <w:shd w:val="clear" w:color="000000" w:fill="E0F0CB"/>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20%</w:t>
            </w:r>
          </w:p>
        </w:tc>
        <w:tc>
          <w:tcPr>
            <w:tcW w:w="1001" w:type="dxa"/>
            <w:tcBorders>
              <w:top w:val="nil"/>
              <w:left w:val="nil"/>
              <w:bottom w:val="nil"/>
              <w:right w:val="nil"/>
            </w:tcBorders>
            <w:shd w:val="clear" w:color="000000" w:fill="E6F3D6"/>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17%</w:t>
            </w:r>
          </w:p>
        </w:tc>
        <w:tc>
          <w:tcPr>
            <w:tcW w:w="1176" w:type="dxa"/>
            <w:tcBorders>
              <w:top w:val="nil"/>
              <w:left w:val="nil"/>
              <w:bottom w:val="nil"/>
              <w:right w:val="nil"/>
            </w:tcBorders>
            <w:shd w:val="clear" w:color="000000" w:fill="FDFEF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w:t>
            </w:r>
          </w:p>
        </w:tc>
        <w:tc>
          <w:tcPr>
            <w:tcW w:w="1063" w:type="dxa"/>
            <w:tcBorders>
              <w:top w:val="nil"/>
              <w:left w:val="nil"/>
              <w:bottom w:val="nil"/>
              <w:right w:val="nil"/>
            </w:tcBorders>
            <w:shd w:val="clear" w:color="000000" w:fill="F5FAE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10%</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Leisure and Hospitality</w:t>
            </w:r>
          </w:p>
        </w:tc>
        <w:tc>
          <w:tcPr>
            <w:tcW w:w="1176" w:type="dxa"/>
            <w:tcBorders>
              <w:top w:val="nil"/>
              <w:left w:val="nil"/>
              <w:bottom w:val="nil"/>
              <w:right w:val="nil"/>
            </w:tcBorders>
            <w:shd w:val="clear" w:color="000000" w:fill="88C63B"/>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64%</w:t>
            </w:r>
          </w:p>
        </w:tc>
        <w:tc>
          <w:tcPr>
            <w:tcW w:w="1432" w:type="dxa"/>
            <w:tcBorders>
              <w:top w:val="nil"/>
              <w:left w:val="nil"/>
              <w:bottom w:val="nil"/>
              <w:right w:val="nil"/>
            </w:tcBorders>
            <w:shd w:val="clear" w:color="000000" w:fill="B7DC87"/>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41%</w:t>
            </w:r>
          </w:p>
        </w:tc>
        <w:tc>
          <w:tcPr>
            <w:tcW w:w="1001" w:type="dxa"/>
            <w:tcBorders>
              <w:top w:val="nil"/>
              <w:left w:val="nil"/>
              <w:bottom w:val="nil"/>
              <w:right w:val="nil"/>
            </w:tcBorders>
            <w:shd w:val="clear" w:color="000000" w:fill="BEE093"/>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38%</w:t>
            </w:r>
          </w:p>
        </w:tc>
        <w:tc>
          <w:tcPr>
            <w:tcW w:w="1108" w:type="dxa"/>
            <w:tcBorders>
              <w:top w:val="nil"/>
              <w:left w:val="nil"/>
              <w:bottom w:val="nil"/>
              <w:right w:val="nil"/>
            </w:tcBorders>
            <w:shd w:val="clear" w:color="000000" w:fill="D8EDB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24%</w:t>
            </w:r>
          </w:p>
        </w:tc>
        <w:tc>
          <w:tcPr>
            <w:tcW w:w="1353" w:type="dxa"/>
            <w:tcBorders>
              <w:top w:val="nil"/>
              <w:left w:val="nil"/>
              <w:bottom w:val="nil"/>
              <w:right w:val="nil"/>
            </w:tcBorders>
            <w:shd w:val="clear" w:color="000000" w:fill="D5EBB9"/>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26%</w:t>
            </w:r>
          </w:p>
        </w:tc>
        <w:tc>
          <w:tcPr>
            <w:tcW w:w="1001" w:type="dxa"/>
            <w:tcBorders>
              <w:top w:val="nil"/>
              <w:left w:val="nil"/>
              <w:bottom w:val="nil"/>
              <w:right w:val="nil"/>
            </w:tcBorders>
            <w:shd w:val="clear" w:color="000000" w:fill="FCFEF9"/>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w:t>
            </w:r>
          </w:p>
        </w:tc>
        <w:tc>
          <w:tcPr>
            <w:tcW w:w="1176" w:type="dxa"/>
            <w:tcBorders>
              <w:top w:val="nil"/>
              <w:left w:val="nil"/>
              <w:bottom w:val="nil"/>
              <w:right w:val="nil"/>
            </w:tcBorders>
            <w:shd w:val="clear" w:color="000000" w:fill="EFF8E4"/>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13%</w:t>
            </w:r>
          </w:p>
        </w:tc>
        <w:tc>
          <w:tcPr>
            <w:tcW w:w="1063" w:type="dxa"/>
            <w:tcBorders>
              <w:top w:val="nil"/>
              <w:left w:val="nil"/>
              <w:bottom w:val="nil"/>
              <w:right w:val="nil"/>
            </w:tcBorders>
            <w:shd w:val="clear" w:color="000000" w:fill="ECF6D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14%</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Natural Resources and Mining</w:t>
            </w:r>
          </w:p>
        </w:tc>
        <w:tc>
          <w:tcPr>
            <w:tcW w:w="1176" w:type="dxa"/>
            <w:tcBorders>
              <w:top w:val="nil"/>
              <w:left w:val="nil"/>
              <w:bottom w:val="nil"/>
              <w:right w:val="nil"/>
            </w:tcBorders>
            <w:shd w:val="clear" w:color="000000" w:fill="8BC840"/>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63%</w:t>
            </w:r>
          </w:p>
        </w:tc>
        <w:tc>
          <w:tcPr>
            <w:tcW w:w="1432" w:type="dxa"/>
            <w:tcBorders>
              <w:top w:val="nil"/>
              <w:left w:val="nil"/>
              <w:bottom w:val="nil"/>
              <w:right w:val="nil"/>
            </w:tcBorders>
            <w:shd w:val="clear" w:color="000000" w:fill="DBEEC3"/>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23%</w:t>
            </w:r>
          </w:p>
        </w:tc>
        <w:tc>
          <w:tcPr>
            <w:tcW w:w="1001" w:type="dxa"/>
            <w:tcBorders>
              <w:top w:val="nil"/>
              <w:left w:val="nil"/>
              <w:bottom w:val="nil"/>
              <w:right w:val="nil"/>
            </w:tcBorders>
            <w:shd w:val="clear" w:color="000000" w:fill="FDFEFB"/>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w:t>
            </w:r>
          </w:p>
        </w:tc>
        <w:tc>
          <w:tcPr>
            <w:tcW w:w="1108" w:type="dxa"/>
            <w:tcBorders>
              <w:top w:val="nil"/>
              <w:left w:val="nil"/>
              <w:bottom w:val="nil"/>
              <w:right w:val="nil"/>
            </w:tcBorders>
            <w:shd w:val="clear" w:color="000000" w:fill="F1F9E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11%</w:t>
            </w:r>
          </w:p>
        </w:tc>
        <w:tc>
          <w:tcPr>
            <w:tcW w:w="1353" w:type="dxa"/>
            <w:tcBorders>
              <w:top w:val="nil"/>
              <w:left w:val="nil"/>
              <w:bottom w:val="nil"/>
              <w:right w:val="nil"/>
            </w:tcBorders>
            <w:shd w:val="clear" w:color="000000" w:fill="CFE8B0"/>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29%</w:t>
            </w:r>
          </w:p>
        </w:tc>
        <w:tc>
          <w:tcPr>
            <w:tcW w:w="1001" w:type="dxa"/>
            <w:tcBorders>
              <w:top w:val="nil"/>
              <w:left w:val="nil"/>
              <w:bottom w:val="nil"/>
              <w:right w:val="nil"/>
            </w:tcBorders>
            <w:shd w:val="clear" w:color="000000" w:fill="FDFEFB"/>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w:t>
            </w:r>
          </w:p>
        </w:tc>
        <w:tc>
          <w:tcPr>
            <w:tcW w:w="1176" w:type="dxa"/>
            <w:tcBorders>
              <w:top w:val="nil"/>
              <w:left w:val="nil"/>
              <w:bottom w:val="nil"/>
              <w:right w:val="nil"/>
            </w:tcBorders>
            <w:shd w:val="clear" w:color="000000" w:fill="ECF6D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14%</w:t>
            </w:r>
          </w:p>
        </w:tc>
        <w:tc>
          <w:tcPr>
            <w:tcW w:w="1063" w:type="dxa"/>
            <w:tcBorders>
              <w:top w:val="nil"/>
              <w:left w:val="nil"/>
              <w:bottom w:val="nil"/>
              <w:right w:val="nil"/>
            </w:tcBorders>
            <w:shd w:val="clear" w:color="000000" w:fill="E0F0CC"/>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20%</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Manufacturing</w:t>
            </w:r>
          </w:p>
        </w:tc>
        <w:tc>
          <w:tcPr>
            <w:tcW w:w="1176" w:type="dxa"/>
            <w:tcBorders>
              <w:top w:val="nil"/>
              <w:left w:val="nil"/>
              <w:bottom w:val="nil"/>
              <w:right w:val="nil"/>
            </w:tcBorders>
            <w:shd w:val="clear" w:color="000000" w:fill="90CA4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60%</w:t>
            </w:r>
          </w:p>
        </w:tc>
        <w:tc>
          <w:tcPr>
            <w:tcW w:w="1432" w:type="dxa"/>
            <w:tcBorders>
              <w:top w:val="nil"/>
              <w:left w:val="nil"/>
              <w:bottom w:val="nil"/>
              <w:right w:val="nil"/>
            </w:tcBorders>
            <w:shd w:val="clear" w:color="000000" w:fill="CFE8A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29%</w:t>
            </w:r>
          </w:p>
        </w:tc>
        <w:tc>
          <w:tcPr>
            <w:tcW w:w="1001" w:type="dxa"/>
            <w:tcBorders>
              <w:top w:val="nil"/>
              <w:left w:val="nil"/>
              <w:bottom w:val="nil"/>
              <w:right w:val="nil"/>
            </w:tcBorders>
            <w:shd w:val="clear" w:color="000000" w:fill="CCE7AB"/>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30%</w:t>
            </w:r>
          </w:p>
        </w:tc>
        <w:tc>
          <w:tcPr>
            <w:tcW w:w="1108" w:type="dxa"/>
            <w:tcBorders>
              <w:top w:val="nil"/>
              <w:left w:val="nil"/>
              <w:bottom w:val="nil"/>
              <w:right w:val="nil"/>
            </w:tcBorders>
            <w:shd w:val="clear" w:color="000000" w:fill="FCFEFA"/>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6%</w:t>
            </w:r>
          </w:p>
        </w:tc>
        <w:tc>
          <w:tcPr>
            <w:tcW w:w="1353" w:type="dxa"/>
            <w:tcBorders>
              <w:top w:val="nil"/>
              <w:left w:val="nil"/>
              <w:bottom w:val="nil"/>
              <w:right w:val="nil"/>
            </w:tcBorders>
            <w:shd w:val="clear" w:color="000000" w:fill="F0F8E6"/>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12%</w:t>
            </w:r>
          </w:p>
        </w:tc>
        <w:tc>
          <w:tcPr>
            <w:tcW w:w="1001" w:type="dxa"/>
            <w:tcBorders>
              <w:top w:val="nil"/>
              <w:left w:val="nil"/>
              <w:bottom w:val="nil"/>
              <w:right w:val="nil"/>
            </w:tcBorders>
            <w:shd w:val="clear" w:color="000000" w:fill="EBF6D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14%</w:t>
            </w:r>
          </w:p>
        </w:tc>
        <w:tc>
          <w:tcPr>
            <w:tcW w:w="1176" w:type="dxa"/>
            <w:tcBorders>
              <w:top w:val="nil"/>
              <w:left w:val="nil"/>
              <w:bottom w:val="nil"/>
              <w:right w:val="nil"/>
            </w:tcBorders>
            <w:shd w:val="clear" w:color="000000" w:fill="EEF7E2"/>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13%</w:t>
            </w:r>
          </w:p>
        </w:tc>
        <w:tc>
          <w:tcPr>
            <w:tcW w:w="1063" w:type="dxa"/>
            <w:tcBorders>
              <w:top w:val="nil"/>
              <w:left w:val="nil"/>
              <w:bottom w:val="nil"/>
              <w:right w:val="nil"/>
            </w:tcBorders>
            <w:shd w:val="clear" w:color="000000" w:fill="F2F9EA"/>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11%</w:t>
            </w:r>
          </w:p>
        </w:tc>
      </w:tr>
      <w:tr w:rsidR="00C546BA" w:rsidRPr="00590BB5" w:rsidTr="00737955">
        <w:trPr>
          <w:trHeight w:val="305"/>
        </w:trPr>
        <w:tc>
          <w:tcPr>
            <w:tcW w:w="3522" w:type="dxa"/>
            <w:tcBorders>
              <w:top w:val="nil"/>
              <w:left w:val="nil"/>
              <w:bottom w:val="nil"/>
              <w:right w:val="nil"/>
            </w:tcBorders>
            <w:shd w:val="clear" w:color="auto" w:fill="auto"/>
            <w:noWrap/>
            <w:vAlign w:val="bottom"/>
            <w:hideMark/>
          </w:tcPr>
          <w:p w:rsidR="00C546BA" w:rsidRPr="00590BB5" w:rsidRDefault="00C546BA" w:rsidP="0056787B">
            <w:pPr>
              <w:spacing w:after="0" w:line="240" w:lineRule="auto"/>
              <w:rPr>
                <w:rFonts w:ascii="Calibri" w:eastAsia="Times New Roman" w:hAnsi="Calibri" w:cs="Times New Roman"/>
                <w:color w:val="000000"/>
              </w:rPr>
            </w:pPr>
            <w:r w:rsidRPr="00590BB5">
              <w:rPr>
                <w:rFonts w:ascii="Calibri" w:eastAsia="Times New Roman" w:hAnsi="Calibri" w:cs="Times New Roman"/>
                <w:color w:val="000000"/>
              </w:rPr>
              <w:t>Construction</w:t>
            </w:r>
          </w:p>
        </w:tc>
        <w:tc>
          <w:tcPr>
            <w:tcW w:w="1176" w:type="dxa"/>
            <w:tcBorders>
              <w:top w:val="nil"/>
              <w:left w:val="nil"/>
              <w:bottom w:val="nil"/>
              <w:right w:val="nil"/>
            </w:tcBorders>
            <w:shd w:val="clear" w:color="000000" w:fill="9BCF5A"/>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55%</w:t>
            </w:r>
          </w:p>
        </w:tc>
        <w:tc>
          <w:tcPr>
            <w:tcW w:w="1432" w:type="dxa"/>
            <w:tcBorders>
              <w:top w:val="nil"/>
              <w:left w:val="nil"/>
              <w:bottom w:val="nil"/>
              <w:right w:val="nil"/>
            </w:tcBorders>
            <w:shd w:val="clear" w:color="000000" w:fill="C1E19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36%</w:t>
            </w:r>
          </w:p>
        </w:tc>
        <w:tc>
          <w:tcPr>
            <w:tcW w:w="1001" w:type="dxa"/>
            <w:tcBorders>
              <w:top w:val="nil"/>
              <w:left w:val="nil"/>
              <w:bottom w:val="nil"/>
              <w:right w:val="nil"/>
            </w:tcBorders>
            <w:shd w:val="clear" w:color="000000" w:fill="C1E198"/>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36%</w:t>
            </w:r>
          </w:p>
        </w:tc>
        <w:tc>
          <w:tcPr>
            <w:tcW w:w="1108" w:type="dxa"/>
            <w:tcBorders>
              <w:top w:val="nil"/>
              <w:left w:val="nil"/>
              <w:bottom w:val="nil"/>
              <w:right w:val="nil"/>
            </w:tcBorders>
            <w:shd w:val="clear" w:color="000000" w:fill="E2F1C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19%</w:t>
            </w:r>
          </w:p>
        </w:tc>
        <w:tc>
          <w:tcPr>
            <w:tcW w:w="1353" w:type="dxa"/>
            <w:tcBorders>
              <w:top w:val="nil"/>
              <w:left w:val="nil"/>
              <w:bottom w:val="nil"/>
              <w:right w:val="nil"/>
            </w:tcBorders>
            <w:shd w:val="clear" w:color="000000" w:fill="CFE8B0"/>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29%</w:t>
            </w:r>
          </w:p>
        </w:tc>
        <w:tc>
          <w:tcPr>
            <w:tcW w:w="1001" w:type="dxa"/>
            <w:tcBorders>
              <w:top w:val="nil"/>
              <w:left w:val="nil"/>
              <w:bottom w:val="nil"/>
              <w:right w:val="nil"/>
            </w:tcBorders>
            <w:shd w:val="clear" w:color="000000" w:fill="D9EDB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24%</w:t>
            </w:r>
          </w:p>
        </w:tc>
        <w:tc>
          <w:tcPr>
            <w:tcW w:w="1176" w:type="dxa"/>
            <w:tcBorders>
              <w:top w:val="nil"/>
              <w:left w:val="nil"/>
              <w:bottom w:val="nil"/>
              <w:right w:val="nil"/>
            </w:tcBorders>
            <w:shd w:val="clear" w:color="000000" w:fill="F5FAEE"/>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10%</w:t>
            </w:r>
          </w:p>
        </w:tc>
        <w:tc>
          <w:tcPr>
            <w:tcW w:w="1063" w:type="dxa"/>
            <w:tcBorders>
              <w:top w:val="nil"/>
              <w:left w:val="nil"/>
              <w:bottom w:val="nil"/>
              <w:right w:val="nil"/>
            </w:tcBorders>
            <w:shd w:val="clear" w:color="000000" w:fill="ECF6DF"/>
            <w:noWrap/>
            <w:vAlign w:val="bottom"/>
            <w:hideMark/>
          </w:tcPr>
          <w:p w:rsidR="00C546BA" w:rsidRPr="00590BB5" w:rsidRDefault="00C546BA" w:rsidP="0056787B">
            <w:pPr>
              <w:spacing w:after="0" w:line="240" w:lineRule="auto"/>
              <w:jc w:val="right"/>
              <w:rPr>
                <w:rFonts w:ascii="Calibri" w:eastAsia="Times New Roman" w:hAnsi="Calibri" w:cs="Times New Roman"/>
                <w:color w:val="000000"/>
              </w:rPr>
            </w:pPr>
            <w:r w:rsidRPr="00590BB5">
              <w:rPr>
                <w:rFonts w:ascii="Calibri" w:eastAsia="Times New Roman" w:hAnsi="Calibri" w:cs="Times New Roman"/>
                <w:color w:val="000000"/>
              </w:rPr>
              <w:t>14%</w:t>
            </w:r>
          </w:p>
        </w:tc>
      </w:tr>
    </w:tbl>
    <w:p w:rsidR="009A23B0" w:rsidRDefault="009A23B0" w:rsidP="009A23B0"/>
    <w:p w:rsidR="00395A9A" w:rsidRDefault="00395A9A">
      <w:r w:rsidRPr="00B875AE">
        <w:rPr>
          <w:b/>
        </w:rPr>
        <w:t>Industries vary widely in their selection of reasons to increase the racial diversity of their workforce; this variance is most pronounced for the reason “To improve racial equity”, which speaks to a less profit-driven motivation (Table 2).</w:t>
      </w:r>
      <w:r>
        <w:t xml:space="preserve"> Just six percent of employers in Natural Resources and Mining reported that racial equity would be a reason for them to increase racial diversity, while over half of Education Services, Government, and Other Services employers agreed with that reason. </w:t>
      </w:r>
    </w:p>
    <w:p w:rsidR="009C40A8" w:rsidRDefault="004548F3">
      <w:r w:rsidRPr="00F872D0">
        <w:rPr>
          <w:b/>
        </w:rPr>
        <w:t>Employers in Education Services, Trade, Transportation, and Utilities, and Government agree with “To increase customer appeal” at relatively high rates</w:t>
      </w:r>
      <w:r>
        <w:t xml:space="preserve">; </w:t>
      </w:r>
      <w:r w:rsidR="00F01395">
        <w:t xml:space="preserve">this is consistent with the general public focus of government and education, and </w:t>
      </w:r>
      <w:r w:rsidR="00E7642E">
        <w:t>employers in</w:t>
      </w:r>
      <w:r w:rsidR="00F01395">
        <w:t xml:space="preserve"> </w:t>
      </w:r>
      <w:r w:rsidR="00E7642E">
        <w:t>retail, who</w:t>
      </w:r>
      <w:r w:rsidR="00F01395">
        <w:t xml:space="preserve"> </w:t>
      </w:r>
      <w:r w:rsidR="00E7642E">
        <w:t>compete</w:t>
      </w:r>
      <w:r w:rsidR="00F01395">
        <w:t xml:space="preserve"> with each other for younger</w:t>
      </w:r>
      <w:r w:rsidR="00E7642E">
        <w:t xml:space="preserve"> (and more diverse) customers, may be driving this result in the Trade, Transportation, and Utilities sector</w:t>
      </w:r>
      <w:r w:rsidR="00F01395">
        <w:t>.</w:t>
      </w:r>
    </w:p>
    <w:p w:rsidR="00153DC9" w:rsidRDefault="00153DC9" w:rsidP="00153DC9">
      <w:r>
        <w:t xml:space="preserve">Construction employers are most likely to write in a reason why they would increase the racial diversity of their workforce; nearly half of these responses cite the requirements for diversity laid out in government contracts. </w:t>
      </w:r>
    </w:p>
    <w:p w:rsidR="00C96D23" w:rsidRDefault="009C40A8">
      <w:r>
        <w:t>One trend unites all industries: employers are significantly more likely to agree with “To attract the best applicants” than any other reason.</w:t>
      </w:r>
      <w:r w:rsidR="00F01395">
        <w:t xml:space="preserve"> </w:t>
      </w:r>
    </w:p>
    <w:p w:rsidR="00F872D0" w:rsidRDefault="00F872D0" w:rsidP="00F872D0"/>
    <w:tbl>
      <w:tblPr>
        <w:tblW w:w="12510" w:type="dxa"/>
        <w:tblLook w:val="04A0" w:firstRow="1" w:lastRow="0" w:firstColumn="1" w:lastColumn="0" w:noHBand="0" w:noVBand="1"/>
      </w:tblPr>
      <w:tblGrid>
        <w:gridCol w:w="3420"/>
        <w:gridCol w:w="1710"/>
        <w:gridCol w:w="1440"/>
        <w:gridCol w:w="1188"/>
        <w:gridCol w:w="1332"/>
        <w:gridCol w:w="1350"/>
        <w:gridCol w:w="1080"/>
        <w:gridCol w:w="990"/>
      </w:tblGrid>
      <w:tr w:rsidR="00C546BA" w:rsidRPr="009D62CC" w:rsidTr="00EC4940">
        <w:trPr>
          <w:trHeight w:val="80"/>
        </w:trPr>
        <w:tc>
          <w:tcPr>
            <w:tcW w:w="12510" w:type="dxa"/>
            <w:gridSpan w:val="8"/>
            <w:tcBorders>
              <w:top w:val="nil"/>
              <w:left w:val="nil"/>
              <w:bottom w:val="nil"/>
              <w:right w:val="nil"/>
            </w:tcBorders>
            <w:shd w:val="clear" w:color="auto" w:fill="auto"/>
            <w:noWrap/>
            <w:vAlign w:val="bottom"/>
          </w:tcPr>
          <w:p w:rsidR="00C546BA" w:rsidRPr="009D62CC" w:rsidRDefault="00EC4940" w:rsidP="0056787B">
            <w:pPr>
              <w:spacing w:after="0" w:line="240" w:lineRule="auto"/>
              <w:rPr>
                <w:rFonts w:ascii="Calibri" w:eastAsia="Times New Roman" w:hAnsi="Calibri" w:cs="Times New Roman"/>
                <w:b/>
                <w:color w:val="000000"/>
              </w:rPr>
            </w:pPr>
            <w:r>
              <w:rPr>
                <w:rFonts w:ascii="Calibri" w:eastAsia="Times New Roman" w:hAnsi="Calibri" w:cs="Times New Roman"/>
                <w:b/>
                <w:color w:val="000000"/>
              </w:rPr>
              <w:lastRenderedPageBreak/>
              <w:t xml:space="preserve">Table 3. </w:t>
            </w:r>
            <w:r w:rsidR="00C546BA" w:rsidRPr="009D62CC">
              <w:rPr>
                <w:rFonts w:ascii="Calibri" w:eastAsia="Times New Roman" w:hAnsi="Calibri" w:cs="Times New Roman"/>
                <w:b/>
                <w:color w:val="000000"/>
              </w:rPr>
              <w:t xml:space="preserve">Percent reporting they have engaged in the following </w:t>
            </w:r>
            <w:r w:rsidR="00C546BA">
              <w:rPr>
                <w:rFonts w:ascii="Calibri" w:eastAsia="Times New Roman" w:hAnsi="Calibri" w:cs="Times New Roman"/>
                <w:b/>
                <w:color w:val="000000"/>
              </w:rPr>
              <w:t xml:space="preserve">recruitment and retention </w:t>
            </w:r>
            <w:r w:rsidR="00C546BA" w:rsidRPr="009D62CC">
              <w:rPr>
                <w:rFonts w:ascii="Calibri" w:eastAsia="Times New Roman" w:hAnsi="Calibri" w:cs="Times New Roman"/>
                <w:b/>
                <w:color w:val="000000"/>
              </w:rPr>
              <w:t>best practices within the past three years</w:t>
            </w:r>
            <w:r w:rsidR="00523E14">
              <w:rPr>
                <w:rFonts w:ascii="Calibri" w:eastAsia="Times New Roman" w:hAnsi="Calibri" w:cs="Times New Roman"/>
                <w:b/>
                <w:color w:val="000000"/>
              </w:rPr>
              <w:t>, by industry</w:t>
            </w:r>
          </w:p>
        </w:tc>
      </w:tr>
      <w:tr w:rsidR="00C546BA" w:rsidRPr="009D62CC" w:rsidTr="00A27D13">
        <w:trPr>
          <w:trHeight w:val="1530"/>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vAlign w:val="bottom"/>
            <w:hideMark/>
          </w:tcPr>
          <w:p w:rsidR="00C546BA" w:rsidRPr="009D62CC" w:rsidRDefault="00C546BA" w:rsidP="00A27D13">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Ensure that stated minimum qu</w:t>
            </w:r>
            <w:r w:rsidR="00A27D13">
              <w:rPr>
                <w:rFonts w:ascii="Calibri" w:eastAsia="Times New Roman" w:hAnsi="Calibri" w:cs="Times New Roman"/>
                <w:color w:val="000000"/>
              </w:rPr>
              <w:t>alifications are truly required</w:t>
            </w:r>
          </w:p>
        </w:tc>
        <w:tc>
          <w:tcPr>
            <w:tcW w:w="1440" w:type="dxa"/>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Pay for professional development of employees</w:t>
            </w:r>
          </w:p>
        </w:tc>
        <w:tc>
          <w:tcPr>
            <w:tcW w:w="1188" w:type="dxa"/>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Make diversity training available to all employees</w:t>
            </w:r>
          </w:p>
        </w:tc>
        <w:tc>
          <w:tcPr>
            <w:tcW w:w="1332" w:type="dxa"/>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Participate in hiring events focused on people of color</w:t>
            </w:r>
          </w:p>
        </w:tc>
        <w:tc>
          <w:tcPr>
            <w:tcW w:w="1350" w:type="dxa"/>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Support a formal mentoring program among employees</w:t>
            </w:r>
          </w:p>
        </w:tc>
        <w:tc>
          <w:tcPr>
            <w:tcW w:w="1080" w:type="dxa"/>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Other</w:t>
            </w:r>
          </w:p>
        </w:tc>
        <w:tc>
          <w:tcPr>
            <w:tcW w:w="990" w:type="dxa"/>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None of the above</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Government</w:t>
            </w:r>
          </w:p>
        </w:tc>
        <w:tc>
          <w:tcPr>
            <w:tcW w:w="1710" w:type="dxa"/>
            <w:tcBorders>
              <w:top w:val="nil"/>
              <w:left w:val="nil"/>
              <w:bottom w:val="nil"/>
              <w:right w:val="nil"/>
            </w:tcBorders>
            <w:shd w:val="clear" w:color="000000" w:fill="83C43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75%</w:t>
            </w:r>
          </w:p>
        </w:tc>
        <w:tc>
          <w:tcPr>
            <w:tcW w:w="1440" w:type="dxa"/>
            <w:tcBorders>
              <w:top w:val="nil"/>
              <w:left w:val="nil"/>
              <w:bottom w:val="nil"/>
              <w:right w:val="nil"/>
            </w:tcBorders>
            <w:shd w:val="clear" w:color="000000" w:fill="A0D26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58%</w:t>
            </w:r>
          </w:p>
        </w:tc>
        <w:tc>
          <w:tcPr>
            <w:tcW w:w="1188" w:type="dxa"/>
            <w:tcBorders>
              <w:top w:val="nil"/>
              <w:left w:val="nil"/>
              <w:bottom w:val="nil"/>
              <w:right w:val="nil"/>
            </w:tcBorders>
            <w:shd w:val="clear" w:color="000000" w:fill="B9DE8C"/>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43%</w:t>
            </w:r>
          </w:p>
        </w:tc>
        <w:tc>
          <w:tcPr>
            <w:tcW w:w="1332" w:type="dxa"/>
            <w:tcBorders>
              <w:top w:val="nil"/>
              <w:left w:val="nil"/>
              <w:bottom w:val="nil"/>
              <w:right w:val="nil"/>
            </w:tcBorders>
            <w:shd w:val="clear" w:color="000000" w:fill="DBEEC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23%</w:t>
            </w:r>
          </w:p>
        </w:tc>
        <w:tc>
          <w:tcPr>
            <w:tcW w:w="1350" w:type="dxa"/>
            <w:tcBorders>
              <w:top w:val="nil"/>
              <w:left w:val="nil"/>
              <w:bottom w:val="nil"/>
              <w:right w:val="nil"/>
            </w:tcBorders>
            <w:shd w:val="clear" w:color="000000" w:fill="E5F3D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17%</w:t>
            </w:r>
          </w:p>
        </w:tc>
        <w:tc>
          <w:tcPr>
            <w:tcW w:w="1080" w:type="dxa"/>
            <w:tcBorders>
              <w:top w:val="nil"/>
              <w:left w:val="nil"/>
              <w:bottom w:val="nil"/>
              <w:right w:val="nil"/>
            </w:tcBorders>
            <w:shd w:val="clear" w:color="000000" w:fill="FAFDF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w:t>
            </w:r>
          </w:p>
        </w:tc>
        <w:tc>
          <w:tcPr>
            <w:tcW w:w="990" w:type="dxa"/>
            <w:tcBorders>
              <w:top w:val="nil"/>
              <w:left w:val="nil"/>
              <w:bottom w:val="nil"/>
              <w:right w:val="nil"/>
            </w:tcBorders>
            <w:shd w:val="clear" w:color="000000" w:fill="F0F8E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11%</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Health Services</w:t>
            </w:r>
          </w:p>
        </w:tc>
        <w:tc>
          <w:tcPr>
            <w:tcW w:w="1710" w:type="dxa"/>
            <w:tcBorders>
              <w:top w:val="nil"/>
              <w:left w:val="nil"/>
              <w:bottom w:val="nil"/>
              <w:right w:val="nil"/>
            </w:tcBorders>
            <w:shd w:val="clear" w:color="000000" w:fill="90CA4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67%</w:t>
            </w:r>
          </w:p>
        </w:tc>
        <w:tc>
          <w:tcPr>
            <w:tcW w:w="1440" w:type="dxa"/>
            <w:tcBorders>
              <w:top w:val="nil"/>
              <w:left w:val="nil"/>
              <w:bottom w:val="nil"/>
              <w:right w:val="nil"/>
            </w:tcBorders>
            <w:shd w:val="clear" w:color="000000" w:fill="A1D26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58%</w:t>
            </w:r>
          </w:p>
        </w:tc>
        <w:tc>
          <w:tcPr>
            <w:tcW w:w="1188" w:type="dxa"/>
            <w:tcBorders>
              <w:top w:val="nil"/>
              <w:left w:val="nil"/>
              <w:bottom w:val="nil"/>
              <w:right w:val="nil"/>
            </w:tcBorders>
            <w:shd w:val="clear" w:color="000000" w:fill="BFE095"/>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40%</w:t>
            </w:r>
          </w:p>
        </w:tc>
        <w:tc>
          <w:tcPr>
            <w:tcW w:w="1332" w:type="dxa"/>
            <w:tcBorders>
              <w:top w:val="nil"/>
              <w:left w:val="nil"/>
              <w:bottom w:val="nil"/>
              <w:right w:val="nil"/>
            </w:tcBorders>
            <w:shd w:val="clear" w:color="000000" w:fill="D9EDC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25%</w:t>
            </w:r>
          </w:p>
        </w:tc>
        <w:tc>
          <w:tcPr>
            <w:tcW w:w="1350" w:type="dxa"/>
            <w:tcBorders>
              <w:top w:val="nil"/>
              <w:left w:val="nil"/>
              <w:bottom w:val="nil"/>
              <w:right w:val="nil"/>
            </w:tcBorders>
            <w:shd w:val="clear" w:color="000000" w:fill="D4EBB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28%</w:t>
            </w:r>
          </w:p>
        </w:tc>
        <w:tc>
          <w:tcPr>
            <w:tcW w:w="1080" w:type="dxa"/>
            <w:tcBorders>
              <w:top w:val="nil"/>
              <w:left w:val="nil"/>
              <w:bottom w:val="nil"/>
              <w:right w:val="nil"/>
            </w:tcBorders>
            <w:shd w:val="clear" w:color="000000" w:fill="FBFDF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w:t>
            </w:r>
          </w:p>
        </w:tc>
        <w:tc>
          <w:tcPr>
            <w:tcW w:w="990" w:type="dxa"/>
            <w:tcBorders>
              <w:top w:val="nil"/>
              <w:left w:val="nil"/>
              <w:bottom w:val="nil"/>
              <w:right w:val="nil"/>
            </w:tcBorders>
            <w:shd w:val="clear" w:color="000000" w:fill="F6FBF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7%</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Professional and Business Services</w:t>
            </w:r>
          </w:p>
        </w:tc>
        <w:tc>
          <w:tcPr>
            <w:tcW w:w="1710" w:type="dxa"/>
            <w:tcBorders>
              <w:top w:val="nil"/>
              <w:left w:val="nil"/>
              <w:bottom w:val="nil"/>
              <w:right w:val="nil"/>
            </w:tcBorders>
            <w:shd w:val="clear" w:color="000000" w:fill="9FD15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59%</w:t>
            </w:r>
          </w:p>
        </w:tc>
        <w:tc>
          <w:tcPr>
            <w:tcW w:w="1440" w:type="dxa"/>
            <w:tcBorders>
              <w:top w:val="nil"/>
              <w:left w:val="nil"/>
              <w:bottom w:val="nil"/>
              <w:right w:val="nil"/>
            </w:tcBorders>
            <w:shd w:val="clear" w:color="000000" w:fill="AAD67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52%</w:t>
            </w:r>
          </w:p>
        </w:tc>
        <w:tc>
          <w:tcPr>
            <w:tcW w:w="1188" w:type="dxa"/>
            <w:tcBorders>
              <w:top w:val="nil"/>
              <w:left w:val="nil"/>
              <w:bottom w:val="nil"/>
              <w:right w:val="nil"/>
            </w:tcBorders>
            <w:shd w:val="clear" w:color="000000" w:fill="D4EBB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28%</w:t>
            </w:r>
          </w:p>
        </w:tc>
        <w:tc>
          <w:tcPr>
            <w:tcW w:w="1332" w:type="dxa"/>
            <w:tcBorders>
              <w:top w:val="nil"/>
              <w:left w:val="nil"/>
              <w:bottom w:val="nil"/>
              <w:right w:val="nil"/>
            </w:tcBorders>
            <w:shd w:val="clear" w:color="000000" w:fill="DAEEC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24%</w:t>
            </w:r>
          </w:p>
        </w:tc>
        <w:tc>
          <w:tcPr>
            <w:tcW w:w="1350" w:type="dxa"/>
            <w:tcBorders>
              <w:top w:val="nil"/>
              <w:left w:val="nil"/>
              <w:bottom w:val="nil"/>
              <w:right w:val="nil"/>
            </w:tcBorders>
            <w:shd w:val="clear" w:color="000000" w:fill="C1E19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39%</w:t>
            </w:r>
          </w:p>
        </w:tc>
        <w:tc>
          <w:tcPr>
            <w:tcW w:w="1080" w:type="dxa"/>
            <w:tcBorders>
              <w:top w:val="nil"/>
              <w:left w:val="nil"/>
              <w:bottom w:val="nil"/>
              <w:right w:val="nil"/>
            </w:tcBorders>
            <w:shd w:val="clear" w:color="000000" w:fill="F4FAE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9%</w:t>
            </w:r>
          </w:p>
        </w:tc>
        <w:tc>
          <w:tcPr>
            <w:tcW w:w="990" w:type="dxa"/>
            <w:tcBorders>
              <w:top w:val="nil"/>
              <w:left w:val="nil"/>
              <w:bottom w:val="nil"/>
              <w:right w:val="nil"/>
            </w:tcBorders>
            <w:shd w:val="clear" w:color="000000" w:fill="E9F5D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15%</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Education Services</w:t>
            </w:r>
          </w:p>
        </w:tc>
        <w:tc>
          <w:tcPr>
            <w:tcW w:w="1710" w:type="dxa"/>
            <w:tcBorders>
              <w:top w:val="nil"/>
              <w:left w:val="nil"/>
              <w:bottom w:val="nil"/>
              <w:right w:val="nil"/>
            </w:tcBorders>
            <w:shd w:val="clear" w:color="000000" w:fill="A1D26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58%</w:t>
            </w:r>
          </w:p>
        </w:tc>
        <w:tc>
          <w:tcPr>
            <w:tcW w:w="1440" w:type="dxa"/>
            <w:tcBorders>
              <w:top w:val="nil"/>
              <w:left w:val="nil"/>
              <w:bottom w:val="nil"/>
              <w:right w:val="nil"/>
            </w:tcBorders>
            <w:shd w:val="clear" w:color="000000" w:fill="78BE2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82%</w:t>
            </w:r>
          </w:p>
        </w:tc>
        <w:tc>
          <w:tcPr>
            <w:tcW w:w="1188" w:type="dxa"/>
            <w:tcBorders>
              <w:top w:val="nil"/>
              <w:left w:val="nil"/>
              <w:bottom w:val="nil"/>
              <w:right w:val="nil"/>
            </w:tcBorders>
            <w:shd w:val="clear" w:color="000000" w:fill="B2DA7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48%</w:t>
            </w:r>
          </w:p>
        </w:tc>
        <w:tc>
          <w:tcPr>
            <w:tcW w:w="1332" w:type="dxa"/>
            <w:tcBorders>
              <w:top w:val="nil"/>
              <w:left w:val="nil"/>
              <w:bottom w:val="nil"/>
              <w:right w:val="nil"/>
            </w:tcBorders>
            <w:shd w:val="clear" w:color="000000" w:fill="D5EBB9"/>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27%</w:t>
            </w:r>
          </w:p>
        </w:tc>
        <w:tc>
          <w:tcPr>
            <w:tcW w:w="1350" w:type="dxa"/>
            <w:tcBorders>
              <w:top w:val="nil"/>
              <w:left w:val="nil"/>
              <w:bottom w:val="nil"/>
              <w:right w:val="nil"/>
            </w:tcBorders>
            <w:shd w:val="clear" w:color="000000" w:fill="B0D97C"/>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49%</w:t>
            </w:r>
          </w:p>
        </w:tc>
        <w:tc>
          <w:tcPr>
            <w:tcW w:w="1080" w:type="dxa"/>
            <w:tcBorders>
              <w:top w:val="nil"/>
              <w:left w:val="nil"/>
              <w:bottom w:val="nil"/>
              <w:right w:val="nil"/>
            </w:tcBorders>
            <w:shd w:val="clear" w:color="000000" w:fill="FFFFF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w:t>
            </w:r>
          </w:p>
        </w:tc>
        <w:tc>
          <w:tcPr>
            <w:tcW w:w="990" w:type="dxa"/>
            <w:tcBorders>
              <w:top w:val="nil"/>
              <w:left w:val="nil"/>
              <w:bottom w:val="nil"/>
              <w:right w:val="nil"/>
            </w:tcBorders>
            <w:shd w:val="clear" w:color="000000" w:fill="FAFDF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Financial Activities</w:t>
            </w:r>
          </w:p>
        </w:tc>
        <w:tc>
          <w:tcPr>
            <w:tcW w:w="1710" w:type="dxa"/>
            <w:tcBorders>
              <w:top w:val="nil"/>
              <w:left w:val="nil"/>
              <w:bottom w:val="nil"/>
              <w:right w:val="nil"/>
            </w:tcBorders>
            <w:shd w:val="clear" w:color="000000" w:fill="A7D56E"/>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54%</w:t>
            </w:r>
          </w:p>
        </w:tc>
        <w:tc>
          <w:tcPr>
            <w:tcW w:w="1440" w:type="dxa"/>
            <w:tcBorders>
              <w:top w:val="nil"/>
              <w:left w:val="nil"/>
              <w:bottom w:val="nil"/>
              <w:right w:val="nil"/>
            </w:tcBorders>
            <w:shd w:val="clear" w:color="000000" w:fill="AED879"/>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50%</w:t>
            </w:r>
          </w:p>
        </w:tc>
        <w:tc>
          <w:tcPr>
            <w:tcW w:w="1188" w:type="dxa"/>
            <w:tcBorders>
              <w:top w:val="nil"/>
              <w:left w:val="nil"/>
              <w:bottom w:val="nil"/>
              <w:right w:val="nil"/>
            </w:tcBorders>
            <w:shd w:val="clear" w:color="000000" w:fill="D2EAB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29%</w:t>
            </w:r>
          </w:p>
        </w:tc>
        <w:tc>
          <w:tcPr>
            <w:tcW w:w="1332" w:type="dxa"/>
            <w:tcBorders>
              <w:top w:val="nil"/>
              <w:left w:val="nil"/>
              <w:bottom w:val="nil"/>
              <w:right w:val="nil"/>
            </w:tcBorders>
            <w:shd w:val="clear" w:color="000000" w:fill="ECF6D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13%</w:t>
            </w:r>
          </w:p>
        </w:tc>
        <w:tc>
          <w:tcPr>
            <w:tcW w:w="1350" w:type="dxa"/>
            <w:tcBorders>
              <w:top w:val="nil"/>
              <w:left w:val="nil"/>
              <w:bottom w:val="nil"/>
              <w:right w:val="nil"/>
            </w:tcBorders>
            <w:shd w:val="clear" w:color="000000" w:fill="E5F3D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17%</w:t>
            </w:r>
          </w:p>
        </w:tc>
        <w:tc>
          <w:tcPr>
            <w:tcW w:w="1080" w:type="dxa"/>
            <w:tcBorders>
              <w:top w:val="nil"/>
              <w:left w:val="nil"/>
              <w:bottom w:val="nil"/>
              <w:right w:val="nil"/>
            </w:tcBorders>
            <w:shd w:val="clear" w:color="000000" w:fill="FFFFF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w:t>
            </w:r>
          </w:p>
        </w:tc>
        <w:tc>
          <w:tcPr>
            <w:tcW w:w="990" w:type="dxa"/>
            <w:tcBorders>
              <w:top w:val="nil"/>
              <w:left w:val="nil"/>
              <w:bottom w:val="nil"/>
              <w:right w:val="nil"/>
            </w:tcBorders>
            <w:shd w:val="clear" w:color="000000" w:fill="DFF0C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21%</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Other Services</w:t>
            </w:r>
          </w:p>
        </w:tc>
        <w:tc>
          <w:tcPr>
            <w:tcW w:w="1710" w:type="dxa"/>
            <w:tcBorders>
              <w:top w:val="nil"/>
              <w:left w:val="nil"/>
              <w:bottom w:val="nil"/>
              <w:right w:val="nil"/>
            </w:tcBorders>
            <w:shd w:val="clear" w:color="000000" w:fill="A9D67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53%</w:t>
            </w:r>
          </w:p>
        </w:tc>
        <w:tc>
          <w:tcPr>
            <w:tcW w:w="1440" w:type="dxa"/>
            <w:tcBorders>
              <w:top w:val="nil"/>
              <w:left w:val="nil"/>
              <w:bottom w:val="nil"/>
              <w:right w:val="nil"/>
            </w:tcBorders>
            <w:shd w:val="clear" w:color="000000" w:fill="ACD77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51%</w:t>
            </w:r>
          </w:p>
        </w:tc>
        <w:tc>
          <w:tcPr>
            <w:tcW w:w="1188" w:type="dxa"/>
            <w:tcBorders>
              <w:top w:val="nil"/>
              <w:left w:val="nil"/>
              <w:bottom w:val="nil"/>
              <w:right w:val="nil"/>
            </w:tcBorders>
            <w:shd w:val="clear" w:color="000000" w:fill="D0E9B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30%</w:t>
            </w:r>
          </w:p>
        </w:tc>
        <w:tc>
          <w:tcPr>
            <w:tcW w:w="1332" w:type="dxa"/>
            <w:tcBorders>
              <w:top w:val="nil"/>
              <w:left w:val="nil"/>
              <w:bottom w:val="nil"/>
              <w:right w:val="nil"/>
            </w:tcBorders>
            <w:shd w:val="clear" w:color="000000" w:fill="DBEEC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23%</w:t>
            </w:r>
          </w:p>
        </w:tc>
        <w:tc>
          <w:tcPr>
            <w:tcW w:w="1350" w:type="dxa"/>
            <w:tcBorders>
              <w:top w:val="nil"/>
              <w:left w:val="nil"/>
              <w:bottom w:val="nil"/>
              <w:right w:val="nil"/>
            </w:tcBorders>
            <w:shd w:val="clear" w:color="000000" w:fill="DBEEC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23%</w:t>
            </w:r>
          </w:p>
        </w:tc>
        <w:tc>
          <w:tcPr>
            <w:tcW w:w="1080" w:type="dxa"/>
            <w:tcBorders>
              <w:top w:val="nil"/>
              <w:left w:val="nil"/>
              <w:bottom w:val="nil"/>
              <w:right w:val="nil"/>
            </w:tcBorders>
            <w:shd w:val="clear" w:color="000000" w:fill="FCFEF9"/>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w:t>
            </w:r>
          </w:p>
        </w:tc>
        <w:tc>
          <w:tcPr>
            <w:tcW w:w="990" w:type="dxa"/>
            <w:tcBorders>
              <w:top w:val="nil"/>
              <w:left w:val="nil"/>
              <w:bottom w:val="nil"/>
              <w:right w:val="nil"/>
            </w:tcBorders>
            <w:shd w:val="clear" w:color="000000" w:fill="E2F1C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19%</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Trade, Transportation, and Utilities</w:t>
            </w:r>
          </w:p>
        </w:tc>
        <w:tc>
          <w:tcPr>
            <w:tcW w:w="1710" w:type="dxa"/>
            <w:tcBorders>
              <w:top w:val="nil"/>
              <w:left w:val="nil"/>
              <w:bottom w:val="nil"/>
              <w:right w:val="nil"/>
            </w:tcBorders>
            <w:shd w:val="clear" w:color="000000" w:fill="ADD87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51%</w:t>
            </w:r>
          </w:p>
        </w:tc>
        <w:tc>
          <w:tcPr>
            <w:tcW w:w="1440" w:type="dxa"/>
            <w:tcBorders>
              <w:top w:val="nil"/>
              <w:left w:val="nil"/>
              <w:bottom w:val="nil"/>
              <w:right w:val="nil"/>
            </w:tcBorders>
            <w:shd w:val="clear" w:color="000000" w:fill="C4E39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37%</w:t>
            </w:r>
          </w:p>
        </w:tc>
        <w:tc>
          <w:tcPr>
            <w:tcW w:w="1188" w:type="dxa"/>
            <w:tcBorders>
              <w:top w:val="nil"/>
              <w:left w:val="nil"/>
              <w:bottom w:val="nil"/>
              <w:right w:val="nil"/>
            </w:tcBorders>
            <w:shd w:val="clear" w:color="000000" w:fill="CEE8A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31%</w:t>
            </w:r>
          </w:p>
        </w:tc>
        <w:tc>
          <w:tcPr>
            <w:tcW w:w="1332" w:type="dxa"/>
            <w:tcBorders>
              <w:top w:val="nil"/>
              <w:left w:val="nil"/>
              <w:bottom w:val="nil"/>
              <w:right w:val="nil"/>
            </w:tcBorders>
            <w:shd w:val="clear" w:color="000000" w:fill="E1F1C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20%</w:t>
            </w:r>
          </w:p>
        </w:tc>
        <w:tc>
          <w:tcPr>
            <w:tcW w:w="1350" w:type="dxa"/>
            <w:tcBorders>
              <w:top w:val="nil"/>
              <w:left w:val="nil"/>
              <w:bottom w:val="nil"/>
              <w:right w:val="nil"/>
            </w:tcBorders>
            <w:shd w:val="clear" w:color="000000" w:fill="DBEEC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23%</w:t>
            </w:r>
          </w:p>
        </w:tc>
        <w:tc>
          <w:tcPr>
            <w:tcW w:w="1080" w:type="dxa"/>
            <w:tcBorders>
              <w:top w:val="nil"/>
              <w:left w:val="nil"/>
              <w:bottom w:val="nil"/>
              <w:right w:val="nil"/>
            </w:tcBorders>
            <w:shd w:val="clear" w:color="000000" w:fill="F8FCF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w:t>
            </w:r>
          </w:p>
        </w:tc>
        <w:tc>
          <w:tcPr>
            <w:tcW w:w="990" w:type="dxa"/>
            <w:tcBorders>
              <w:top w:val="nil"/>
              <w:left w:val="nil"/>
              <w:bottom w:val="nil"/>
              <w:right w:val="nil"/>
            </w:tcBorders>
            <w:shd w:val="clear" w:color="000000" w:fill="DBEEC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23%</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Manufacturing</w:t>
            </w:r>
          </w:p>
        </w:tc>
        <w:tc>
          <w:tcPr>
            <w:tcW w:w="1710" w:type="dxa"/>
            <w:tcBorders>
              <w:top w:val="nil"/>
              <w:left w:val="nil"/>
              <w:bottom w:val="nil"/>
              <w:right w:val="nil"/>
            </w:tcBorders>
            <w:shd w:val="clear" w:color="000000" w:fill="B1DA7E"/>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48%</w:t>
            </w:r>
          </w:p>
        </w:tc>
        <w:tc>
          <w:tcPr>
            <w:tcW w:w="1440" w:type="dxa"/>
            <w:tcBorders>
              <w:top w:val="nil"/>
              <w:left w:val="nil"/>
              <w:bottom w:val="nil"/>
              <w:right w:val="nil"/>
            </w:tcBorders>
            <w:shd w:val="clear" w:color="000000" w:fill="B5DC85"/>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46%</w:t>
            </w:r>
          </w:p>
        </w:tc>
        <w:tc>
          <w:tcPr>
            <w:tcW w:w="1188" w:type="dxa"/>
            <w:tcBorders>
              <w:top w:val="nil"/>
              <w:left w:val="nil"/>
              <w:bottom w:val="nil"/>
              <w:right w:val="nil"/>
            </w:tcBorders>
            <w:shd w:val="clear" w:color="000000" w:fill="D8ECBE"/>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25%</w:t>
            </w:r>
          </w:p>
        </w:tc>
        <w:tc>
          <w:tcPr>
            <w:tcW w:w="1332" w:type="dxa"/>
            <w:tcBorders>
              <w:top w:val="nil"/>
              <w:left w:val="nil"/>
              <w:bottom w:val="nil"/>
              <w:right w:val="nil"/>
            </w:tcBorders>
            <w:shd w:val="clear" w:color="000000" w:fill="DEEFC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22%</w:t>
            </w:r>
          </w:p>
        </w:tc>
        <w:tc>
          <w:tcPr>
            <w:tcW w:w="1350" w:type="dxa"/>
            <w:tcBorders>
              <w:top w:val="nil"/>
              <w:left w:val="nil"/>
              <w:bottom w:val="nil"/>
              <w:right w:val="nil"/>
            </w:tcBorders>
            <w:shd w:val="clear" w:color="000000" w:fill="DEEFC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22%</w:t>
            </w:r>
          </w:p>
        </w:tc>
        <w:tc>
          <w:tcPr>
            <w:tcW w:w="1080" w:type="dxa"/>
            <w:tcBorders>
              <w:top w:val="nil"/>
              <w:left w:val="nil"/>
              <w:bottom w:val="nil"/>
              <w:right w:val="nil"/>
            </w:tcBorders>
            <w:shd w:val="clear" w:color="000000" w:fill="F4FAE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8%</w:t>
            </w:r>
          </w:p>
        </w:tc>
        <w:tc>
          <w:tcPr>
            <w:tcW w:w="990" w:type="dxa"/>
            <w:tcBorders>
              <w:top w:val="nil"/>
              <w:left w:val="nil"/>
              <w:bottom w:val="nil"/>
              <w:right w:val="nil"/>
            </w:tcBorders>
            <w:shd w:val="clear" w:color="000000" w:fill="D6EBB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27%</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Construction</w:t>
            </w:r>
          </w:p>
        </w:tc>
        <w:tc>
          <w:tcPr>
            <w:tcW w:w="1710" w:type="dxa"/>
            <w:tcBorders>
              <w:top w:val="nil"/>
              <w:left w:val="nil"/>
              <w:bottom w:val="nil"/>
              <w:right w:val="nil"/>
            </w:tcBorders>
            <w:shd w:val="clear" w:color="000000" w:fill="B4DB8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46%</w:t>
            </w:r>
          </w:p>
        </w:tc>
        <w:tc>
          <w:tcPr>
            <w:tcW w:w="1440" w:type="dxa"/>
            <w:tcBorders>
              <w:top w:val="nil"/>
              <w:left w:val="nil"/>
              <w:bottom w:val="nil"/>
              <w:right w:val="nil"/>
            </w:tcBorders>
            <w:shd w:val="clear" w:color="000000" w:fill="BCDF9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41%</w:t>
            </w:r>
          </w:p>
        </w:tc>
        <w:tc>
          <w:tcPr>
            <w:tcW w:w="1188" w:type="dxa"/>
            <w:tcBorders>
              <w:top w:val="nil"/>
              <w:left w:val="nil"/>
              <w:bottom w:val="nil"/>
              <w:right w:val="nil"/>
            </w:tcBorders>
            <w:shd w:val="clear" w:color="000000" w:fill="DEEFC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22%</w:t>
            </w:r>
          </w:p>
        </w:tc>
        <w:tc>
          <w:tcPr>
            <w:tcW w:w="1332" w:type="dxa"/>
            <w:tcBorders>
              <w:top w:val="nil"/>
              <w:left w:val="nil"/>
              <w:bottom w:val="nil"/>
              <w:right w:val="nil"/>
            </w:tcBorders>
            <w:shd w:val="clear" w:color="000000" w:fill="C9E5A5"/>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34%</w:t>
            </w:r>
          </w:p>
        </w:tc>
        <w:tc>
          <w:tcPr>
            <w:tcW w:w="1350" w:type="dxa"/>
            <w:tcBorders>
              <w:top w:val="nil"/>
              <w:left w:val="nil"/>
              <w:bottom w:val="nil"/>
              <w:right w:val="nil"/>
            </w:tcBorders>
            <w:shd w:val="clear" w:color="000000" w:fill="EAF5DC"/>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15%</w:t>
            </w:r>
          </w:p>
        </w:tc>
        <w:tc>
          <w:tcPr>
            <w:tcW w:w="1080" w:type="dxa"/>
            <w:tcBorders>
              <w:top w:val="nil"/>
              <w:left w:val="nil"/>
              <w:bottom w:val="nil"/>
              <w:right w:val="nil"/>
            </w:tcBorders>
            <w:shd w:val="clear" w:color="000000" w:fill="EEF7E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12%</w:t>
            </w:r>
          </w:p>
        </w:tc>
        <w:tc>
          <w:tcPr>
            <w:tcW w:w="990" w:type="dxa"/>
            <w:tcBorders>
              <w:top w:val="nil"/>
              <w:left w:val="nil"/>
              <w:bottom w:val="nil"/>
              <w:right w:val="nil"/>
            </w:tcBorders>
            <w:shd w:val="clear" w:color="000000" w:fill="DEEFC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22%</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Leisure and Hospitality</w:t>
            </w:r>
          </w:p>
        </w:tc>
        <w:tc>
          <w:tcPr>
            <w:tcW w:w="1710" w:type="dxa"/>
            <w:tcBorders>
              <w:top w:val="nil"/>
              <w:left w:val="nil"/>
              <w:bottom w:val="nil"/>
              <w:right w:val="nil"/>
            </w:tcBorders>
            <w:shd w:val="clear" w:color="000000" w:fill="C3E29C"/>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38%</w:t>
            </w:r>
          </w:p>
        </w:tc>
        <w:tc>
          <w:tcPr>
            <w:tcW w:w="1440" w:type="dxa"/>
            <w:tcBorders>
              <w:top w:val="nil"/>
              <w:left w:val="nil"/>
              <w:bottom w:val="nil"/>
              <w:right w:val="nil"/>
            </w:tcBorders>
            <w:shd w:val="clear" w:color="000000" w:fill="DEF0C9"/>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21%</w:t>
            </w:r>
          </w:p>
        </w:tc>
        <w:tc>
          <w:tcPr>
            <w:tcW w:w="1188" w:type="dxa"/>
            <w:tcBorders>
              <w:top w:val="nil"/>
              <w:left w:val="nil"/>
              <w:bottom w:val="nil"/>
              <w:right w:val="nil"/>
            </w:tcBorders>
            <w:shd w:val="clear" w:color="000000" w:fill="E9F5D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15%</w:t>
            </w:r>
          </w:p>
        </w:tc>
        <w:tc>
          <w:tcPr>
            <w:tcW w:w="1332" w:type="dxa"/>
            <w:tcBorders>
              <w:top w:val="nil"/>
              <w:left w:val="nil"/>
              <w:bottom w:val="nil"/>
              <w:right w:val="nil"/>
            </w:tcBorders>
            <w:shd w:val="clear" w:color="000000" w:fill="EEF7E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13%</w:t>
            </w:r>
          </w:p>
        </w:tc>
        <w:tc>
          <w:tcPr>
            <w:tcW w:w="1350" w:type="dxa"/>
            <w:tcBorders>
              <w:top w:val="nil"/>
              <w:left w:val="nil"/>
              <w:bottom w:val="nil"/>
              <w:right w:val="nil"/>
            </w:tcBorders>
            <w:shd w:val="clear" w:color="000000" w:fill="E8F4D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16%</w:t>
            </w:r>
          </w:p>
        </w:tc>
        <w:tc>
          <w:tcPr>
            <w:tcW w:w="1080" w:type="dxa"/>
            <w:tcBorders>
              <w:top w:val="nil"/>
              <w:left w:val="nil"/>
              <w:bottom w:val="nil"/>
              <w:right w:val="nil"/>
            </w:tcBorders>
            <w:shd w:val="clear" w:color="000000" w:fill="FAFDF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w:t>
            </w:r>
          </w:p>
        </w:tc>
        <w:tc>
          <w:tcPr>
            <w:tcW w:w="990" w:type="dxa"/>
            <w:tcBorders>
              <w:top w:val="nil"/>
              <w:left w:val="nil"/>
              <w:bottom w:val="nil"/>
              <w:right w:val="nil"/>
            </w:tcBorders>
            <w:shd w:val="clear" w:color="000000" w:fill="B3DA8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47%</w:t>
            </w:r>
          </w:p>
        </w:tc>
      </w:tr>
      <w:tr w:rsidR="00C546BA" w:rsidRPr="009D62CC" w:rsidTr="00EC4940">
        <w:trPr>
          <w:trHeight w:val="305"/>
        </w:trPr>
        <w:tc>
          <w:tcPr>
            <w:tcW w:w="3420" w:type="dxa"/>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Natural Resources and Mining</w:t>
            </w:r>
          </w:p>
        </w:tc>
        <w:tc>
          <w:tcPr>
            <w:tcW w:w="1710" w:type="dxa"/>
            <w:tcBorders>
              <w:top w:val="nil"/>
              <w:left w:val="nil"/>
              <w:bottom w:val="nil"/>
              <w:right w:val="nil"/>
            </w:tcBorders>
            <w:shd w:val="clear" w:color="000000" w:fill="D2E9B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29%</w:t>
            </w:r>
          </w:p>
        </w:tc>
        <w:tc>
          <w:tcPr>
            <w:tcW w:w="1440" w:type="dxa"/>
            <w:tcBorders>
              <w:top w:val="nil"/>
              <w:left w:val="nil"/>
              <w:bottom w:val="nil"/>
              <w:right w:val="nil"/>
            </w:tcBorders>
            <w:shd w:val="clear" w:color="000000" w:fill="DCEFC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23%</w:t>
            </w:r>
          </w:p>
        </w:tc>
        <w:tc>
          <w:tcPr>
            <w:tcW w:w="1188" w:type="dxa"/>
            <w:tcBorders>
              <w:top w:val="nil"/>
              <w:left w:val="nil"/>
              <w:bottom w:val="nil"/>
              <w:right w:val="nil"/>
            </w:tcBorders>
            <w:shd w:val="clear" w:color="000000" w:fill="E7F4D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16%</w:t>
            </w:r>
          </w:p>
        </w:tc>
        <w:tc>
          <w:tcPr>
            <w:tcW w:w="1332" w:type="dxa"/>
            <w:tcBorders>
              <w:top w:val="nil"/>
              <w:left w:val="nil"/>
              <w:bottom w:val="nil"/>
              <w:right w:val="nil"/>
            </w:tcBorders>
            <w:shd w:val="clear" w:color="000000" w:fill="F2F9E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10%</w:t>
            </w:r>
          </w:p>
        </w:tc>
        <w:tc>
          <w:tcPr>
            <w:tcW w:w="1350" w:type="dxa"/>
            <w:tcBorders>
              <w:top w:val="nil"/>
              <w:left w:val="nil"/>
              <w:bottom w:val="nil"/>
              <w:right w:val="nil"/>
            </w:tcBorders>
            <w:shd w:val="clear" w:color="000000" w:fill="F2F9E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10%</w:t>
            </w:r>
          </w:p>
        </w:tc>
        <w:tc>
          <w:tcPr>
            <w:tcW w:w="1080" w:type="dxa"/>
            <w:tcBorders>
              <w:top w:val="nil"/>
              <w:left w:val="nil"/>
              <w:bottom w:val="nil"/>
              <w:right w:val="nil"/>
            </w:tcBorders>
            <w:shd w:val="clear" w:color="000000" w:fill="F2F9E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10%</w:t>
            </w:r>
          </w:p>
        </w:tc>
        <w:tc>
          <w:tcPr>
            <w:tcW w:w="990" w:type="dxa"/>
            <w:tcBorders>
              <w:top w:val="nil"/>
              <w:left w:val="nil"/>
              <w:bottom w:val="nil"/>
              <w:right w:val="nil"/>
            </w:tcBorders>
            <w:shd w:val="clear" w:color="000000" w:fill="B1DA7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48%</w:t>
            </w:r>
          </w:p>
        </w:tc>
      </w:tr>
    </w:tbl>
    <w:p w:rsidR="009A23B0" w:rsidRDefault="009A23B0" w:rsidP="009A23B0"/>
    <w:p w:rsidR="00395A9A" w:rsidRPr="00395A9A" w:rsidRDefault="00395A9A">
      <w:r w:rsidRPr="00395A9A">
        <w:rPr>
          <w:b/>
        </w:rPr>
        <w:t>Employers in the Education Services industry are the most likely to report paying for employee professional development, making diversity training available to all employees, and supporting a formal mentoring program among employees (Table 3)</w:t>
      </w:r>
      <w:r>
        <w:rPr>
          <w:b/>
        </w:rPr>
        <w:t xml:space="preserve">. </w:t>
      </w:r>
    </w:p>
    <w:p w:rsidR="00395A9A" w:rsidRDefault="00395A9A">
      <w:r>
        <w:t>Employers in the Construction industry are the most likely to report they participate in hiring events for people of color—relatively fewer report doing any of the other best practices around retention rather than recruitment.</w:t>
      </w:r>
    </w:p>
    <w:p w:rsidR="00F872D0" w:rsidRDefault="007E1645">
      <w:r>
        <w:t xml:space="preserve">Government and Health Services employers are the most likely to report that they have ensured that the stated minimum qualifications on job postings are actually necessary. </w:t>
      </w:r>
      <w:r w:rsidR="00F872D0">
        <w:t>Both of these industries tend to have large employers with centralized human resource functions and policies—whose very efficiency can maintain a status quo, for instance in minimum qualifications, past its usefulness.</w:t>
      </w:r>
    </w:p>
    <w:p w:rsidR="00C546BA" w:rsidRDefault="007E1645">
      <w:r>
        <w:t>Employers in Leisure and Hospitality and Natural Resources and Mining are most likely to report doing none of the above.</w:t>
      </w:r>
    </w:p>
    <w:p w:rsidR="00A27D13" w:rsidRDefault="00A27D13"/>
    <w:tbl>
      <w:tblPr>
        <w:tblW w:w="4826" w:type="pct"/>
        <w:tblLayout w:type="fixed"/>
        <w:tblLook w:val="04A0" w:firstRow="1" w:lastRow="0" w:firstColumn="1" w:lastColumn="0" w:noHBand="0" w:noVBand="1"/>
      </w:tblPr>
      <w:tblGrid>
        <w:gridCol w:w="3421"/>
        <w:gridCol w:w="1442"/>
        <w:gridCol w:w="1288"/>
        <w:gridCol w:w="1363"/>
        <w:gridCol w:w="1363"/>
        <w:gridCol w:w="1363"/>
        <w:gridCol w:w="1011"/>
        <w:gridCol w:w="1258"/>
      </w:tblGrid>
      <w:tr w:rsidR="00C546BA" w:rsidRPr="009D62CC" w:rsidTr="00EC4940">
        <w:trPr>
          <w:trHeight w:val="300"/>
        </w:trPr>
        <w:tc>
          <w:tcPr>
            <w:tcW w:w="5000" w:type="pct"/>
            <w:gridSpan w:val="8"/>
            <w:tcBorders>
              <w:top w:val="nil"/>
              <w:left w:val="nil"/>
              <w:bottom w:val="nil"/>
              <w:right w:val="nil"/>
            </w:tcBorders>
            <w:shd w:val="clear" w:color="auto" w:fill="auto"/>
            <w:noWrap/>
            <w:vAlign w:val="center"/>
            <w:hideMark/>
          </w:tcPr>
          <w:p w:rsidR="00C546BA" w:rsidRPr="009D62CC" w:rsidRDefault="00EC4940" w:rsidP="0056787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lastRenderedPageBreak/>
              <w:t xml:space="preserve">Table 4. </w:t>
            </w:r>
            <w:r w:rsidR="00C546BA" w:rsidRPr="009D62CC">
              <w:rPr>
                <w:rFonts w:ascii="Calibri" w:eastAsia="Times New Roman" w:hAnsi="Calibri" w:cs="Times New Roman"/>
                <w:b/>
                <w:bCs/>
                <w:color w:val="000000"/>
              </w:rPr>
              <w:t>Percent reporting they have engaged in the following leadership best practices within the past three years</w:t>
            </w:r>
            <w:r w:rsidR="00523E14">
              <w:rPr>
                <w:rFonts w:ascii="Calibri" w:eastAsia="Times New Roman" w:hAnsi="Calibri" w:cs="Times New Roman"/>
                <w:b/>
                <w:bCs/>
                <w:color w:val="000000"/>
              </w:rPr>
              <w:t>, by industry</w:t>
            </w:r>
          </w:p>
        </w:tc>
      </w:tr>
      <w:tr w:rsidR="00C546BA" w:rsidRPr="009D62CC" w:rsidTr="00EC4940">
        <w:trPr>
          <w:trHeight w:val="225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jc w:val="center"/>
              <w:rPr>
                <w:rFonts w:ascii="Calibri" w:eastAsia="Times New Roman" w:hAnsi="Calibri" w:cs="Times New Roman"/>
                <w:b/>
                <w:bCs/>
                <w:color w:val="000000"/>
              </w:rPr>
            </w:pPr>
          </w:p>
        </w:tc>
        <w:tc>
          <w:tcPr>
            <w:tcW w:w="576" w:type="pct"/>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Senior leadership communicate commitment to diversity</w:t>
            </w:r>
          </w:p>
        </w:tc>
        <w:tc>
          <w:tcPr>
            <w:tcW w:w="515" w:type="pct"/>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Develop a clear business rationale for increased diversity</w:t>
            </w:r>
          </w:p>
        </w:tc>
        <w:tc>
          <w:tcPr>
            <w:tcW w:w="545" w:type="pct"/>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Devote an office, department, or task force to increasing diversity</w:t>
            </w:r>
          </w:p>
        </w:tc>
        <w:tc>
          <w:tcPr>
            <w:tcW w:w="545" w:type="pct"/>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Include progress on diversity goals in at least one manager's job review</w:t>
            </w:r>
          </w:p>
        </w:tc>
        <w:tc>
          <w:tcPr>
            <w:tcW w:w="545" w:type="pct"/>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Establish explicit goals for the use of women- or minority-owned suppliers</w:t>
            </w:r>
          </w:p>
        </w:tc>
        <w:tc>
          <w:tcPr>
            <w:tcW w:w="404"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Other</w:t>
            </w:r>
          </w:p>
        </w:tc>
        <w:tc>
          <w:tcPr>
            <w:tcW w:w="504" w:type="pct"/>
            <w:tcBorders>
              <w:top w:val="nil"/>
              <w:left w:val="nil"/>
              <w:bottom w:val="nil"/>
              <w:right w:val="nil"/>
            </w:tcBorders>
            <w:shd w:val="clear" w:color="auto" w:fill="auto"/>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None of the above</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Education Services</w:t>
            </w:r>
          </w:p>
        </w:tc>
        <w:tc>
          <w:tcPr>
            <w:tcW w:w="576" w:type="pct"/>
            <w:tcBorders>
              <w:top w:val="nil"/>
              <w:left w:val="nil"/>
              <w:bottom w:val="nil"/>
              <w:right w:val="nil"/>
            </w:tcBorders>
            <w:shd w:val="clear" w:color="000000" w:fill="9FD16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53%</w:t>
            </w:r>
          </w:p>
        </w:tc>
        <w:tc>
          <w:tcPr>
            <w:tcW w:w="515" w:type="pct"/>
            <w:tcBorders>
              <w:top w:val="nil"/>
              <w:left w:val="nil"/>
              <w:bottom w:val="nil"/>
              <w:right w:val="nil"/>
            </w:tcBorders>
            <w:shd w:val="clear" w:color="000000" w:fill="C9E5A5"/>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31%</w:t>
            </w:r>
          </w:p>
        </w:tc>
        <w:tc>
          <w:tcPr>
            <w:tcW w:w="545" w:type="pct"/>
            <w:tcBorders>
              <w:top w:val="nil"/>
              <w:left w:val="nil"/>
              <w:bottom w:val="nil"/>
              <w:right w:val="nil"/>
            </w:tcBorders>
            <w:shd w:val="clear" w:color="000000" w:fill="C5E39E"/>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33%</w:t>
            </w:r>
          </w:p>
        </w:tc>
        <w:tc>
          <w:tcPr>
            <w:tcW w:w="545" w:type="pct"/>
            <w:tcBorders>
              <w:top w:val="nil"/>
              <w:left w:val="nil"/>
              <w:bottom w:val="nil"/>
              <w:right w:val="nil"/>
            </w:tcBorders>
            <w:shd w:val="clear" w:color="000000" w:fill="C9E5A5"/>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31%</w:t>
            </w:r>
          </w:p>
        </w:tc>
        <w:tc>
          <w:tcPr>
            <w:tcW w:w="545" w:type="pct"/>
            <w:tcBorders>
              <w:top w:val="nil"/>
              <w:left w:val="nil"/>
              <w:bottom w:val="nil"/>
              <w:right w:val="nil"/>
            </w:tcBorders>
            <w:shd w:val="clear" w:color="000000" w:fill="F2F9E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9%</w:t>
            </w:r>
          </w:p>
        </w:tc>
        <w:tc>
          <w:tcPr>
            <w:tcW w:w="404" w:type="pct"/>
            <w:tcBorders>
              <w:top w:val="nil"/>
              <w:left w:val="nil"/>
              <w:bottom w:val="nil"/>
              <w:right w:val="nil"/>
            </w:tcBorders>
            <w:shd w:val="clear" w:color="000000" w:fill="FFFFFE"/>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w:t>
            </w:r>
          </w:p>
        </w:tc>
        <w:tc>
          <w:tcPr>
            <w:tcW w:w="504" w:type="pct"/>
            <w:tcBorders>
              <w:top w:val="nil"/>
              <w:left w:val="nil"/>
              <w:bottom w:val="nil"/>
              <w:right w:val="nil"/>
            </w:tcBorders>
            <w:shd w:val="clear" w:color="000000" w:fill="BCDF9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38%</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Health Services</w:t>
            </w:r>
          </w:p>
        </w:tc>
        <w:tc>
          <w:tcPr>
            <w:tcW w:w="576" w:type="pct"/>
            <w:tcBorders>
              <w:top w:val="nil"/>
              <w:left w:val="nil"/>
              <w:bottom w:val="nil"/>
              <w:right w:val="nil"/>
            </w:tcBorders>
            <w:shd w:val="clear" w:color="000000" w:fill="A9D67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48%</w:t>
            </w:r>
          </w:p>
        </w:tc>
        <w:tc>
          <w:tcPr>
            <w:tcW w:w="515" w:type="pct"/>
            <w:tcBorders>
              <w:top w:val="nil"/>
              <w:left w:val="nil"/>
              <w:bottom w:val="nil"/>
              <w:right w:val="nil"/>
            </w:tcBorders>
            <w:shd w:val="clear" w:color="000000" w:fill="DBEEC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21%</w:t>
            </w:r>
          </w:p>
        </w:tc>
        <w:tc>
          <w:tcPr>
            <w:tcW w:w="545" w:type="pct"/>
            <w:tcBorders>
              <w:top w:val="nil"/>
              <w:left w:val="nil"/>
              <w:bottom w:val="nil"/>
              <w:right w:val="nil"/>
            </w:tcBorders>
            <w:shd w:val="clear" w:color="000000" w:fill="E1F1CC"/>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18%</w:t>
            </w:r>
          </w:p>
        </w:tc>
        <w:tc>
          <w:tcPr>
            <w:tcW w:w="545" w:type="pct"/>
            <w:tcBorders>
              <w:top w:val="nil"/>
              <w:left w:val="nil"/>
              <w:bottom w:val="nil"/>
              <w:right w:val="nil"/>
            </w:tcBorders>
            <w:shd w:val="clear" w:color="000000" w:fill="E6F3D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15%</w:t>
            </w:r>
          </w:p>
        </w:tc>
        <w:tc>
          <w:tcPr>
            <w:tcW w:w="545" w:type="pct"/>
            <w:tcBorders>
              <w:top w:val="nil"/>
              <w:left w:val="nil"/>
              <w:bottom w:val="nil"/>
              <w:right w:val="nil"/>
            </w:tcBorders>
            <w:shd w:val="clear" w:color="000000" w:fill="F8FCF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w:t>
            </w:r>
          </w:p>
        </w:tc>
        <w:tc>
          <w:tcPr>
            <w:tcW w:w="404" w:type="pct"/>
            <w:tcBorders>
              <w:top w:val="nil"/>
              <w:left w:val="nil"/>
              <w:bottom w:val="nil"/>
              <w:right w:val="nil"/>
            </w:tcBorders>
            <w:shd w:val="clear" w:color="000000" w:fill="FFFFFE"/>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w:t>
            </w:r>
          </w:p>
        </w:tc>
        <w:tc>
          <w:tcPr>
            <w:tcW w:w="504" w:type="pct"/>
            <w:tcBorders>
              <w:top w:val="nil"/>
              <w:left w:val="nil"/>
              <w:bottom w:val="nil"/>
              <w:right w:val="nil"/>
            </w:tcBorders>
            <w:shd w:val="clear" w:color="000000" w:fill="B5DC85"/>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42%</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Other Services</w:t>
            </w:r>
          </w:p>
        </w:tc>
        <w:tc>
          <w:tcPr>
            <w:tcW w:w="576" w:type="pct"/>
            <w:tcBorders>
              <w:top w:val="nil"/>
              <w:left w:val="nil"/>
              <w:bottom w:val="nil"/>
              <w:right w:val="nil"/>
            </w:tcBorders>
            <w:shd w:val="clear" w:color="000000" w:fill="AED879"/>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46%</w:t>
            </w:r>
          </w:p>
        </w:tc>
        <w:tc>
          <w:tcPr>
            <w:tcW w:w="515" w:type="pct"/>
            <w:tcBorders>
              <w:top w:val="nil"/>
              <w:left w:val="nil"/>
              <w:bottom w:val="nil"/>
              <w:right w:val="nil"/>
            </w:tcBorders>
            <w:shd w:val="clear" w:color="000000" w:fill="DEF0C9"/>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20%</w:t>
            </w:r>
          </w:p>
        </w:tc>
        <w:tc>
          <w:tcPr>
            <w:tcW w:w="545" w:type="pct"/>
            <w:tcBorders>
              <w:top w:val="nil"/>
              <w:left w:val="nil"/>
              <w:bottom w:val="nil"/>
              <w:right w:val="nil"/>
            </w:tcBorders>
            <w:shd w:val="clear" w:color="000000" w:fill="EBF5D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13%</w:t>
            </w:r>
          </w:p>
        </w:tc>
        <w:tc>
          <w:tcPr>
            <w:tcW w:w="545" w:type="pct"/>
            <w:tcBorders>
              <w:top w:val="nil"/>
              <w:left w:val="nil"/>
              <w:bottom w:val="nil"/>
              <w:right w:val="nil"/>
            </w:tcBorders>
            <w:shd w:val="clear" w:color="000000" w:fill="EBF5D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13%</w:t>
            </w:r>
          </w:p>
        </w:tc>
        <w:tc>
          <w:tcPr>
            <w:tcW w:w="545" w:type="pct"/>
            <w:tcBorders>
              <w:top w:val="nil"/>
              <w:left w:val="nil"/>
              <w:bottom w:val="nil"/>
              <w:right w:val="nil"/>
            </w:tcBorders>
            <w:shd w:val="clear" w:color="000000" w:fill="EFF7E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11%</w:t>
            </w:r>
          </w:p>
        </w:tc>
        <w:tc>
          <w:tcPr>
            <w:tcW w:w="404" w:type="pct"/>
            <w:tcBorders>
              <w:top w:val="nil"/>
              <w:left w:val="nil"/>
              <w:bottom w:val="nil"/>
              <w:right w:val="nil"/>
            </w:tcBorders>
            <w:shd w:val="clear" w:color="000000" w:fill="F3F9E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9%</w:t>
            </w:r>
          </w:p>
        </w:tc>
        <w:tc>
          <w:tcPr>
            <w:tcW w:w="504" w:type="pct"/>
            <w:tcBorders>
              <w:top w:val="nil"/>
              <w:left w:val="nil"/>
              <w:bottom w:val="nil"/>
              <w:right w:val="nil"/>
            </w:tcBorders>
            <w:shd w:val="clear" w:color="000000" w:fill="AAD67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48%</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Construction</w:t>
            </w:r>
          </w:p>
        </w:tc>
        <w:tc>
          <w:tcPr>
            <w:tcW w:w="576" w:type="pct"/>
            <w:tcBorders>
              <w:top w:val="nil"/>
              <w:left w:val="nil"/>
              <w:bottom w:val="nil"/>
              <w:right w:val="nil"/>
            </w:tcBorders>
            <w:shd w:val="clear" w:color="000000" w:fill="BADE8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39%</w:t>
            </w:r>
          </w:p>
        </w:tc>
        <w:tc>
          <w:tcPr>
            <w:tcW w:w="515" w:type="pct"/>
            <w:tcBorders>
              <w:top w:val="nil"/>
              <w:left w:val="nil"/>
              <w:bottom w:val="nil"/>
              <w:right w:val="nil"/>
            </w:tcBorders>
            <w:shd w:val="clear" w:color="000000" w:fill="D1E9B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27%</w:t>
            </w:r>
          </w:p>
        </w:tc>
        <w:tc>
          <w:tcPr>
            <w:tcW w:w="545" w:type="pct"/>
            <w:tcBorders>
              <w:top w:val="nil"/>
              <w:left w:val="nil"/>
              <w:bottom w:val="nil"/>
              <w:right w:val="nil"/>
            </w:tcBorders>
            <w:shd w:val="clear" w:color="000000" w:fill="E3F2D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17%</w:t>
            </w:r>
          </w:p>
        </w:tc>
        <w:tc>
          <w:tcPr>
            <w:tcW w:w="545" w:type="pct"/>
            <w:tcBorders>
              <w:top w:val="nil"/>
              <w:left w:val="nil"/>
              <w:bottom w:val="nil"/>
              <w:right w:val="nil"/>
            </w:tcBorders>
            <w:shd w:val="clear" w:color="000000" w:fill="E8F4D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15%</w:t>
            </w:r>
          </w:p>
        </w:tc>
        <w:tc>
          <w:tcPr>
            <w:tcW w:w="545" w:type="pct"/>
            <w:tcBorders>
              <w:top w:val="nil"/>
              <w:left w:val="nil"/>
              <w:bottom w:val="nil"/>
              <w:right w:val="nil"/>
            </w:tcBorders>
            <w:shd w:val="clear" w:color="000000" w:fill="D5EBB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24%</w:t>
            </w:r>
          </w:p>
        </w:tc>
        <w:tc>
          <w:tcPr>
            <w:tcW w:w="404" w:type="pct"/>
            <w:tcBorders>
              <w:top w:val="nil"/>
              <w:left w:val="nil"/>
              <w:bottom w:val="nil"/>
              <w:right w:val="nil"/>
            </w:tcBorders>
            <w:shd w:val="clear" w:color="000000" w:fill="F5FBE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7%</w:t>
            </w:r>
          </w:p>
        </w:tc>
        <w:tc>
          <w:tcPr>
            <w:tcW w:w="504" w:type="pct"/>
            <w:tcBorders>
              <w:top w:val="nil"/>
              <w:left w:val="nil"/>
              <w:bottom w:val="nil"/>
              <w:right w:val="nil"/>
            </w:tcBorders>
            <w:shd w:val="clear" w:color="000000" w:fill="BADE8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39%</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Professional and Business Services</w:t>
            </w:r>
          </w:p>
        </w:tc>
        <w:tc>
          <w:tcPr>
            <w:tcW w:w="576" w:type="pct"/>
            <w:tcBorders>
              <w:top w:val="nil"/>
              <w:left w:val="nil"/>
              <w:bottom w:val="nil"/>
              <w:right w:val="nil"/>
            </w:tcBorders>
            <w:shd w:val="clear" w:color="000000" w:fill="BDE09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37%</w:t>
            </w:r>
          </w:p>
        </w:tc>
        <w:tc>
          <w:tcPr>
            <w:tcW w:w="515" w:type="pct"/>
            <w:tcBorders>
              <w:top w:val="nil"/>
              <w:left w:val="nil"/>
              <w:bottom w:val="nil"/>
              <w:right w:val="nil"/>
            </w:tcBorders>
            <w:shd w:val="clear" w:color="000000" w:fill="DBEEC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22%</w:t>
            </w:r>
          </w:p>
        </w:tc>
        <w:tc>
          <w:tcPr>
            <w:tcW w:w="545" w:type="pct"/>
            <w:tcBorders>
              <w:top w:val="nil"/>
              <w:left w:val="nil"/>
              <w:bottom w:val="nil"/>
              <w:right w:val="nil"/>
            </w:tcBorders>
            <w:shd w:val="clear" w:color="000000" w:fill="E6F3D5"/>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16%</w:t>
            </w:r>
          </w:p>
        </w:tc>
        <w:tc>
          <w:tcPr>
            <w:tcW w:w="545" w:type="pct"/>
            <w:tcBorders>
              <w:top w:val="nil"/>
              <w:left w:val="nil"/>
              <w:bottom w:val="nil"/>
              <w:right w:val="nil"/>
            </w:tcBorders>
            <w:shd w:val="clear" w:color="000000" w:fill="E9F5D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14%</w:t>
            </w:r>
          </w:p>
        </w:tc>
        <w:tc>
          <w:tcPr>
            <w:tcW w:w="545" w:type="pct"/>
            <w:tcBorders>
              <w:top w:val="nil"/>
              <w:left w:val="nil"/>
              <w:bottom w:val="nil"/>
              <w:right w:val="nil"/>
            </w:tcBorders>
            <w:shd w:val="clear" w:color="000000" w:fill="EFF7E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11%</w:t>
            </w:r>
          </w:p>
        </w:tc>
        <w:tc>
          <w:tcPr>
            <w:tcW w:w="404" w:type="pct"/>
            <w:tcBorders>
              <w:top w:val="nil"/>
              <w:left w:val="nil"/>
              <w:bottom w:val="nil"/>
              <w:right w:val="nil"/>
            </w:tcBorders>
            <w:shd w:val="clear" w:color="000000" w:fill="F8FCF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w:t>
            </w:r>
          </w:p>
        </w:tc>
        <w:tc>
          <w:tcPr>
            <w:tcW w:w="504" w:type="pct"/>
            <w:tcBorders>
              <w:top w:val="nil"/>
              <w:left w:val="nil"/>
              <w:bottom w:val="nil"/>
              <w:right w:val="nil"/>
            </w:tcBorders>
            <w:shd w:val="clear" w:color="000000" w:fill="A6D46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50%</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Government</w:t>
            </w:r>
          </w:p>
        </w:tc>
        <w:tc>
          <w:tcPr>
            <w:tcW w:w="576" w:type="pct"/>
            <w:tcBorders>
              <w:top w:val="nil"/>
              <w:left w:val="nil"/>
              <w:bottom w:val="nil"/>
              <w:right w:val="nil"/>
            </w:tcBorders>
            <w:shd w:val="clear" w:color="000000" w:fill="C3E29C"/>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34%</w:t>
            </w:r>
          </w:p>
        </w:tc>
        <w:tc>
          <w:tcPr>
            <w:tcW w:w="515" w:type="pct"/>
            <w:tcBorders>
              <w:top w:val="nil"/>
              <w:left w:val="nil"/>
              <w:bottom w:val="nil"/>
              <w:right w:val="nil"/>
            </w:tcBorders>
            <w:shd w:val="clear" w:color="000000" w:fill="D8EDB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23%</w:t>
            </w:r>
          </w:p>
        </w:tc>
        <w:tc>
          <w:tcPr>
            <w:tcW w:w="545" w:type="pct"/>
            <w:tcBorders>
              <w:top w:val="nil"/>
              <w:left w:val="nil"/>
              <w:bottom w:val="nil"/>
              <w:right w:val="nil"/>
            </w:tcBorders>
            <w:shd w:val="clear" w:color="000000" w:fill="E7F4D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15%</w:t>
            </w:r>
          </w:p>
        </w:tc>
        <w:tc>
          <w:tcPr>
            <w:tcW w:w="545" w:type="pct"/>
            <w:tcBorders>
              <w:top w:val="nil"/>
              <w:left w:val="nil"/>
              <w:bottom w:val="nil"/>
              <w:right w:val="nil"/>
            </w:tcBorders>
            <w:shd w:val="clear" w:color="000000" w:fill="F2F9E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9%</w:t>
            </w:r>
          </w:p>
        </w:tc>
        <w:tc>
          <w:tcPr>
            <w:tcW w:w="545" w:type="pct"/>
            <w:tcBorders>
              <w:top w:val="nil"/>
              <w:left w:val="nil"/>
              <w:bottom w:val="nil"/>
              <w:right w:val="nil"/>
            </w:tcBorders>
            <w:shd w:val="clear" w:color="000000" w:fill="F2F9E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9%</w:t>
            </w:r>
          </w:p>
        </w:tc>
        <w:tc>
          <w:tcPr>
            <w:tcW w:w="404" w:type="pct"/>
            <w:tcBorders>
              <w:top w:val="nil"/>
              <w:left w:val="nil"/>
              <w:bottom w:val="nil"/>
              <w:right w:val="nil"/>
            </w:tcBorders>
            <w:shd w:val="clear" w:color="000000" w:fill="F7FBF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w:t>
            </w:r>
          </w:p>
        </w:tc>
        <w:tc>
          <w:tcPr>
            <w:tcW w:w="504" w:type="pct"/>
            <w:tcBorders>
              <w:top w:val="nil"/>
              <w:left w:val="nil"/>
              <w:bottom w:val="nil"/>
              <w:right w:val="nil"/>
            </w:tcBorders>
            <w:shd w:val="clear" w:color="000000" w:fill="A9D67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48%</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Trade, Transportation, and Utilities</w:t>
            </w:r>
          </w:p>
        </w:tc>
        <w:tc>
          <w:tcPr>
            <w:tcW w:w="576" w:type="pct"/>
            <w:tcBorders>
              <w:top w:val="nil"/>
              <w:left w:val="nil"/>
              <w:bottom w:val="nil"/>
              <w:right w:val="nil"/>
            </w:tcBorders>
            <w:shd w:val="clear" w:color="000000" w:fill="CDE7AC"/>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29%</w:t>
            </w:r>
          </w:p>
        </w:tc>
        <w:tc>
          <w:tcPr>
            <w:tcW w:w="515" w:type="pct"/>
            <w:tcBorders>
              <w:top w:val="nil"/>
              <w:left w:val="nil"/>
              <w:bottom w:val="nil"/>
              <w:right w:val="nil"/>
            </w:tcBorders>
            <w:shd w:val="clear" w:color="000000" w:fill="E2F1C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18%</w:t>
            </w:r>
          </w:p>
        </w:tc>
        <w:tc>
          <w:tcPr>
            <w:tcW w:w="545" w:type="pct"/>
            <w:tcBorders>
              <w:top w:val="nil"/>
              <w:left w:val="nil"/>
              <w:bottom w:val="nil"/>
              <w:right w:val="nil"/>
            </w:tcBorders>
            <w:shd w:val="clear" w:color="000000" w:fill="ECF6E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12%</w:t>
            </w:r>
          </w:p>
        </w:tc>
        <w:tc>
          <w:tcPr>
            <w:tcW w:w="545" w:type="pct"/>
            <w:tcBorders>
              <w:top w:val="nil"/>
              <w:left w:val="nil"/>
              <w:bottom w:val="nil"/>
              <w:right w:val="nil"/>
            </w:tcBorders>
            <w:shd w:val="clear" w:color="000000" w:fill="EFF8E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11%</w:t>
            </w:r>
          </w:p>
        </w:tc>
        <w:tc>
          <w:tcPr>
            <w:tcW w:w="545" w:type="pct"/>
            <w:tcBorders>
              <w:top w:val="nil"/>
              <w:left w:val="nil"/>
              <w:bottom w:val="nil"/>
              <w:right w:val="nil"/>
            </w:tcBorders>
            <w:shd w:val="clear" w:color="000000" w:fill="F3FAE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9%</w:t>
            </w:r>
          </w:p>
        </w:tc>
        <w:tc>
          <w:tcPr>
            <w:tcW w:w="404" w:type="pct"/>
            <w:tcBorders>
              <w:top w:val="nil"/>
              <w:left w:val="nil"/>
              <w:bottom w:val="nil"/>
              <w:right w:val="nil"/>
            </w:tcBorders>
            <w:shd w:val="clear" w:color="000000" w:fill="F8FCF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w:t>
            </w:r>
          </w:p>
        </w:tc>
        <w:tc>
          <w:tcPr>
            <w:tcW w:w="504" w:type="pct"/>
            <w:tcBorders>
              <w:top w:val="nil"/>
              <w:left w:val="nil"/>
              <w:bottom w:val="nil"/>
              <w:right w:val="nil"/>
            </w:tcBorders>
            <w:shd w:val="clear" w:color="000000" w:fill="92CB4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60%</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Manufacturing</w:t>
            </w:r>
          </w:p>
        </w:tc>
        <w:tc>
          <w:tcPr>
            <w:tcW w:w="576" w:type="pct"/>
            <w:tcBorders>
              <w:top w:val="nil"/>
              <w:left w:val="nil"/>
              <w:bottom w:val="nil"/>
              <w:right w:val="nil"/>
            </w:tcBorders>
            <w:shd w:val="clear" w:color="000000" w:fill="D0E9B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27%</w:t>
            </w:r>
          </w:p>
        </w:tc>
        <w:tc>
          <w:tcPr>
            <w:tcW w:w="515" w:type="pct"/>
            <w:tcBorders>
              <w:top w:val="nil"/>
              <w:left w:val="nil"/>
              <w:bottom w:val="nil"/>
              <w:right w:val="nil"/>
            </w:tcBorders>
            <w:shd w:val="clear" w:color="000000" w:fill="E5F3D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16%</w:t>
            </w:r>
          </w:p>
        </w:tc>
        <w:tc>
          <w:tcPr>
            <w:tcW w:w="545" w:type="pct"/>
            <w:tcBorders>
              <w:top w:val="nil"/>
              <w:left w:val="nil"/>
              <w:bottom w:val="nil"/>
              <w:right w:val="nil"/>
            </w:tcBorders>
            <w:shd w:val="clear" w:color="000000" w:fill="F1F8E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10%</w:t>
            </w:r>
          </w:p>
        </w:tc>
        <w:tc>
          <w:tcPr>
            <w:tcW w:w="545" w:type="pct"/>
            <w:tcBorders>
              <w:top w:val="nil"/>
              <w:left w:val="nil"/>
              <w:bottom w:val="nil"/>
              <w:right w:val="nil"/>
            </w:tcBorders>
            <w:shd w:val="clear" w:color="000000" w:fill="EEF7E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11%</w:t>
            </w:r>
          </w:p>
        </w:tc>
        <w:tc>
          <w:tcPr>
            <w:tcW w:w="545" w:type="pct"/>
            <w:tcBorders>
              <w:top w:val="nil"/>
              <w:left w:val="nil"/>
              <w:bottom w:val="nil"/>
              <w:right w:val="nil"/>
            </w:tcBorders>
            <w:shd w:val="clear" w:color="000000" w:fill="FAFDF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w:t>
            </w:r>
          </w:p>
        </w:tc>
        <w:tc>
          <w:tcPr>
            <w:tcW w:w="404" w:type="pct"/>
            <w:tcBorders>
              <w:top w:val="nil"/>
              <w:left w:val="nil"/>
              <w:bottom w:val="nil"/>
              <w:right w:val="nil"/>
            </w:tcBorders>
            <w:shd w:val="clear" w:color="000000" w:fill="F7FCF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w:t>
            </w:r>
          </w:p>
        </w:tc>
        <w:tc>
          <w:tcPr>
            <w:tcW w:w="504" w:type="pct"/>
            <w:tcBorders>
              <w:top w:val="nil"/>
              <w:left w:val="nil"/>
              <w:bottom w:val="nil"/>
              <w:right w:val="nil"/>
            </w:tcBorders>
            <w:shd w:val="clear" w:color="000000" w:fill="9BCF5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56%</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Leisure and Hospitality</w:t>
            </w:r>
          </w:p>
        </w:tc>
        <w:tc>
          <w:tcPr>
            <w:tcW w:w="576" w:type="pct"/>
            <w:tcBorders>
              <w:top w:val="nil"/>
              <w:left w:val="nil"/>
              <w:bottom w:val="nil"/>
              <w:right w:val="nil"/>
            </w:tcBorders>
            <w:shd w:val="clear" w:color="000000" w:fill="D9EDC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22%</w:t>
            </w:r>
          </w:p>
        </w:tc>
        <w:tc>
          <w:tcPr>
            <w:tcW w:w="515" w:type="pct"/>
            <w:tcBorders>
              <w:top w:val="nil"/>
              <w:left w:val="nil"/>
              <w:bottom w:val="nil"/>
              <w:right w:val="nil"/>
            </w:tcBorders>
            <w:shd w:val="clear" w:color="000000" w:fill="E5F3D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16%</w:t>
            </w:r>
          </w:p>
        </w:tc>
        <w:tc>
          <w:tcPr>
            <w:tcW w:w="545" w:type="pct"/>
            <w:tcBorders>
              <w:top w:val="nil"/>
              <w:left w:val="nil"/>
              <w:bottom w:val="nil"/>
              <w:right w:val="nil"/>
            </w:tcBorders>
            <w:shd w:val="clear" w:color="000000" w:fill="F7FBF1"/>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7%</w:t>
            </w:r>
          </w:p>
        </w:tc>
        <w:tc>
          <w:tcPr>
            <w:tcW w:w="545" w:type="pct"/>
            <w:tcBorders>
              <w:top w:val="nil"/>
              <w:left w:val="nil"/>
              <w:bottom w:val="nil"/>
              <w:right w:val="nil"/>
            </w:tcBorders>
            <w:shd w:val="clear" w:color="000000" w:fill="FFFFFF"/>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w:t>
            </w:r>
          </w:p>
        </w:tc>
        <w:tc>
          <w:tcPr>
            <w:tcW w:w="545" w:type="pct"/>
            <w:tcBorders>
              <w:top w:val="nil"/>
              <w:left w:val="nil"/>
              <w:bottom w:val="nil"/>
              <w:right w:val="nil"/>
            </w:tcBorders>
            <w:shd w:val="clear" w:color="000000" w:fill="FEFFF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w:t>
            </w:r>
          </w:p>
        </w:tc>
        <w:tc>
          <w:tcPr>
            <w:tcW w:w="404" w:type="pct"/>
            <w:tcBorders>
              <w:top w:val="nil"/>
              <w:left w:val="nil"/>
              <w:bottom w:val="nil"/>
              <w:right w:val="nil"/>
            </w:tcBorders>
            <w:shd w:val="clear" w:color="000000" w:fill="FCFEFA"/>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4%</w:t>
            </w:r>
          </w:p>
        </w:tc>
        <w:tc>
          <w:tcPr>
            <w:tcW w:w="504" w:type="pct"/>
            <w:tcBorders>
              <w:top w:val="nil"/>
              <w:left w:val="nil"/>
              <w:bottom w:val="nil"/>
              <w:right w:val="nil"/>
            </w:tcBorders>
            <w:shd w:val="clear" w:color="000000" w:fill="7DC12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72%</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Financial Activities</w:t>
            </w:r>
          </w:p>
        </w:tc>
        <w:tc>
          <w:tcPr>
            <w:tcW w:w="576" w:type="pct"/>
            <w:tcBorders>
              <w:top w:val="nil"/>
              <w:left w:val="nil"/>
              <w:bottom w:val="nil"/>
              <w:right w:val="nil"/>
            </w:tcBorders>
            <w:shd w:val="clear" w:color="000000" w:fill="DEEFC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20%</w:t>
            </w:r>
          </w:p>
        </w:tc>
        <w:tc>
          <w:tcPr>
            <w:tcW w:w="515" w:type="pct"/>
            <w:tcBorders>
              <w:top w:val="nil"/>
              <w:left w:val="nil"/>
              <w:bottom w:val="nil"/>
              <w:right w:val="nil"/>
            </w:tcBorders>
            <w:shd w:val="clear" w:color="000000" w:fill="DEEFC8"/>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20%</w:t>
            </w:r>
          </w:p>
        </w:tc>
        <w:tc>
          <w:tcPr>
            <w:tcW w:w="545" w:type="pct"/>
            <w:tcBorders>
              <w:top w:val="nil"/>
              <w:left w:val="nil"/>
              <w:bottom w:val="nil"/>
              <w:right w:val="nil"/>
            </w:tcBorders>
            <w:shd w:val="clear" w:color="000000" w:fill="EDF6E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12%</w:t>
            </w:r>
          </w:p>
        </w:tc>
        <w:tc>
          <w:tcPr>
            <w:tcW w:w="545" w:type="pct"/>
            <w:tcBorders>
              <w:top w:val="nil"/>
              <w:left w:val="nil"/>
              <w:bottom w:val="nil"/>
              <w:right w:val="nil"/>
            </w:tcBorders>
            <w:shd w:val="clear" w:color="000000" w:fill="F0F8E6"/>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10%</w:t>
            </w:r>
          </w:p>
        </w:tc>
        <w:tc>
          <w:tcPr>
            <w:tcW w:w="545" w:type="pct"/>
            <w:tcBorders>
              <w:top w:val="nil"/>
              <w:left w:val="nil"/>
              <w:bottom w:val="nil"/>
              <w:right w:val="nil"/>
            </w:tcBorders>
            <w:shd w:val="clear" w:color="000000" w:fill="F4FAED"/>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8%</w:t>
            </w:r>
          </w:p>
        </w:tc>
        <w:tc>
          <w:tcPr>
            <w:tcW w:w="404" w:type="pct"/>
            <w:tcBorders>
              <w:top w:val="nil"/>
              <w:left w:val="nil"/>
              <w:bottom w:val="nil"/>
              <w:right w:val="nil"/>
            </w:tcBorders>
            <w:shd w:val="clear" w:color="000000" w:fill="F8FCF3"/>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6%</w:t>
            </w:r>
          </w:p>
        </w:tc>
        <w:tc>
          <w:tcPr>
            <w:tcW w:w="504" w:type="pct"/>
            <w:tcBorders>
              <w:top w:val="nil"/>
              <w:left w:val="nil"/>
              <w:bottom w:val="nil"/>
              <w:right w:val="nil"/>
            </w:tcBorders>
            <w:shd w:val="clear" w:color="000000" w:fill="97CD52"/>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58%</w:t>
            </w:r>
          </w:p>
        </w:tc>
      </w:tr>
      <w:tr w:rsidR="00C546BA" w:rsidRPr="009D62CC" w:rsidTr="00EC4940">
        <w:trPr>
          <w:trHeight w:val="300"/>
        </w:trPr>
        <w:tc>
          <w:tcPr>
            <w:tcW w:w="1367" w:type="pct"/>
            <w:tcBorders>
              <w:top w:val="nil"/>
              <w:left w:val="nil"/>
              <w:bottom w:val="nil"/>
              <w:right w:val="nil"/>
            </w:tcBorders>
            <w:shd w:val="clear" w:color="auto" w:fill="auto"/>
            <w:noWrap/>
            <w:vAlign w:val="bottom"/>
            <w:hideMark/>
          </w:tcPr>
          <w:p w:rsidR="00C546BA" w:rsidRPr="009D62CC" w:rsidRDefault="00C546BA" w:rsidP="0056787B">
            <w:pPr>
              <w:spacing w:after="0" w:line="240" w:lineRule="auto"/>
              <w:rPr>
                <w:rFonts w:ascii="Calibri" w:eastAsia="Times New Roman" w:hAnsi="Calibri" w:cs="Times New Roman"/>
                <w:color w:val="000000"/>
              </w:rPr>
            </w:pPr>
            <w:r w:rsidRPr="009D62CC">
              <w:rPr>
                <w:rFonts w:ascii="Calibri" w:eastAsia="Times New Roman" w:hAnsi="Calibri" w:cs="Times New Roman"/>
                <w:color w:val="000000"/>
              </w:rPr>
              <w:t>Natural Resources and Mining</w:t>
            </w:r>
          </w:p>
        </w:tc>
        <w:tc>
          <w:tcPr>
            <w:tcW w:w="576" w:type="pct"/>
            <w:tcBorders>
              <w:top w:val="nil"/>
              <w:left w:val="nil"/>
              <w:bottom w:val="nil"/>
              <w:right w:val="nil"/>
            </w:tcBorders>
            <w:shd w:val="clear" w:color="000000" w:fill="F1F8E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10%</w:t>
            </w:r>
          </w:p>
        </w:tc>
        <w:tc>
          <w:tcPr>
            <w:tcW w:w="515" w:type="pct"/>
            <w:tcBorders>
              <w:top w:val="nil"/>
              <w:left w:val="nil"/>
              <w:bottom w:val="nil"/>
              <w:right w:val="nil"/>
            </w:tcBorders>
            <w:shd w:val="clear" w:color="000000" w:fill="E5F3D4"/>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16%</w:t>
            </w:r>
          </w:p>
        </w:tc>
        <w:tc>
          <w:tcPr>
            <w:tcW w:w="545" w:type="pct"/>
            <w:tcBorders>
              <w:top w:val="nil"/>
              <w:left w:val="nil"/>
              <w:bottom w:val="nil"/>
              <w:right w:val="nil"/>
            </w:tcBorders>
            <w:shd w:val="clear" w:color="000000" w:fill="FDFEF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w:t>
            </w:r>
          </w:p>
        </w:tc>
        <w:tc>
          <w:tcPr>
            <w:tcW w:w="545" w:type="pct"/>
            <w:tcBorders>
              <w:top w:val="nil"/>
              <w:left w:val="nil"/>
              <w:bottom w:val="nil"/>
              <w:right w:val="nil"/>
            </w:tcBorders>
            <w:shd w:val="clear" w:color="000000" w:fill="FDFEF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w:t>
            </w:r>
          </w:p>
        </w:tc>
        <w:tc>
          <w:tcPr>
            <w:tcW w:w="545" w:type="pct"/>
            <w:tcBorders>
              <w:top w:val="nil"/>
              <w:left w:val="nil"/>
              <w:bottom w:val="nil"/>
              <w:right w:val="nil"/>
            </w:tcBorders>
            <w:shd w:val="clear" w:color="000000" w:fill="FDFEFB"/>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3%</w:t>
            </w:r>
          </w:p>
        </w:tc>
        <w:tc>
          <w:tcPr>
            <w:tcW w:w="404" w:type="pct"/>
            <w:tcBorders>
              <w:top w:val="nil"/>
              <w:left w:val="nil"/>
              <w:bottom w:val="nil"/>
              <w:right w:val="nil"/>
            </w:tcBorders>
            <w:shd w:val="clear" w:color="000000" w:fill="F1F8E7"/>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10%</w:t>
            </w:r>
          </w:p>
        </w:tc>
        <w:tc>
          <w:tcPr>
            <w:tcW w:w="504" w:type="pct"/>
            <w:tcBorders>
              <w:top w:val="nil"/>
              <w:left w:val="nil"/>
              <w:bottom w:val="nil"/>
              <w:right w:val="nil"/>
            </w:tcBorders>
            <w:shd w:val="clear" w:color="000000" w:fill="78BE20"/>
            <w:noWrap/>
            <w:vAlign w:val="bottom"/>
            <w:hideMark/>
          </w:tcPr>
          <w:p w:rsidR="00C546BA" w:rsidRPr="009D62CC" w:rsidRDefault="00C546BA" w:rsidP="0056787B">
            <w:pPr>
              <w:spacing w:after="0" w:line="240" w:lineRule="auto"/>
              <w:jc w:val="right"/>
              <w:rPr>
                <w:rFonts w:ascii="Calibri" w:eastAsia="Times New Roman" w:hAnsi="Calibri" w:cs="Times New Roman"/>
                <w:color w:val="000000"/>
              </w:rPr>
            </w:pPr>
            <w:r w:rsidRPr="009D62CC">
              <w:rPr>
                <w:rFonts w:ascii="Calibri" w:eastAsia="Times New Roman" w:hAnsi="Calibri" w:cs="Times New Roman"/>
                <w:color w:val="000000"/>
              </w:rPr>
              <w:t>74%</w:t>
            </w:r>
          </w:p>
        </w:tc>
      </w:tr>
    </w:tbl>
    <w:p w:rsidR="009A23B0" w:rsidRDefault="009A23B0" w:rsidP="009A23B0"/>
    <w:p w:rsidR="004F4D95" w:rsidRDefault="004F4D95" w:rsidP="009A23B0">
      <w:r w:rsidRPr="004F4D95">
        <w:rPr>
          <w:b/>
        </w:rPr>
        <w:t>About half of employers in Education, Health, and Other Services say their senior leadership communicate a commitment to diversity (Table 4).</w:t>
      </w:r>
      <w:r>
        <w:t xml:space="preserve"> Remember, Other Services includes advocacy and civic organizations. Education and Construction employers are most likely to have a clear business rationale for increased diversity, presumably from research finding students with at least one teacher of a similar background have better educational outcomes to government contracts requiring a certain percentage of women and people of color working on (and supplying) a construction project. </w:t>
      </w:r>
    </w:p>
    <w:p w:rsidR="00395A9A" w:rsidRDefault="004F4D95" w:rsidP="009A23B0">
      <w:r>
        <w:t>Once again, employers in Leisure and Hospitality and Natural Resources and Mining are most likely to report doing none of these.</w:t>
      </w:r>
    </w:p>
    <w:p w:rsidR="00712367" w:rsidRDefault="00712367">
      <w:r>
        <w:br w:type="page"/>
      </w:r>
    </w:p>
    <w:p w:rsidR="00712367" w:rsidRDefault="00712367" w:rsidP="00712367">
      <w:pPr>
        <w:pStyle w:val="Heading1"/>
      </w:pPr>
      <w:r>
        <w:lastRenderedPageBreak/>
        <w:t>Conclusion</w:t>
      </w:r>
    </w:p>
    <w:p w:rsidR="0042546F" w:rsidRDefault="00B447EA" w:rsidP="0042546F">
      <w:r>
        <w:t xml:space="preserve">While this report illuminates the current state of workforce diversity in Minnesota, it also raises </w:t>
      </w:r>
      <w:r w:rsidR="0042546F">
        <w:t>important questions t</w:t>
      </w:r>
      <w:r w:rsidR="008A2C0D">
        <w:t>hat remain unanswered:</w:t>
      </w:r>
    </w:p>
    <w:p w:rsidR="00F4453D" w:rsidRPr="00B17781" w:rsidRDefault="0042546F" w:rsidP="0043683F">
      <w:pPr>
        <w:pStyle w:val="ListParagraph"/>
        <w:numPr>
          <w:ilvl w:val="0"/>
          <w:numId w:val="3"/>
        </w:numPr>
      </w:pPr>
      <w:r w:rsidRPr="00B17781">
        <w:t>Is there a business case for diversity that</w:t>
      </w:r>
      <w:r w:rsidR="00B447EA" w:rsidRPr="00B17781">
        <w:t xml:space="preserve"> can appeal </w:t>
      </w:r>
      <w:r w:rsidR="00F4453D" w:rsidRPr="00B17781">
        <w:t xml:space="preserve">specifically </w:t>
      </w:r>
      <w:r w:rsidR="00B447EA" w:rsidRPr="00B17781">
        <w:t>to small employers?</w:t>
      </w:r>
      <w:r w:rsidR="00265EA2" w:rsidRPr="00B17781">
        <w:t xml:space="preserve"> </w:t>
      </w:r>
      <w:r w:rsidRPr="00B17781">
        <w:t>Are there best practices in managing diversity that</w:t>
      </w:r>
      <w:r w:rsidR="00B447EA" w:rsidRPr="00B17781">
        <w:t xml:space="preserve"> are unique to small employers?</w:t>
      </w:r>
      <w:r w:rsidR="00265EA2" w:rsidRPr="00B17781">
        <w:t xml:space="preserve"> What’s already working for small businesses in Minnesota?</w:t>
      </w:r>
    </w:p>
    <w:p w:rsidR="00B17781" w:rsidRPr="00265EA2" w:rsidRDefault="00B17781" w:rsidP="00B17781">
      <w:pPr>
        <w:pStyle w:val="ListParagraph"/>
      </w:pPr>
    </w:p>
    <w:p w:rsidR="00265EA2" w:rsidRDefault="00433896" w:rsidP="0043683F">
      <w:pPr>
        <w:pStyle w:val="ListParagraph"/>
        <w:numPr>
          <w:ilvl w:val="0"/>
          <w:numId w:val="3"/>
        </w:numPr>
      </w:pPr>
      <w:r>
        <w:t>What</w:t>
      </w:r>
      <w:r w:rsidR="00B17781">
        <w:t xml:space="preserve"> best practices can Minnesota’s already-diverse sectors, like Manufacturing, Leisure and Hospitality, and Natural Resources and Mining, implement around retaining diverse talent and implementing career pathways into higher wage occupations? What’s already working in these sectors?</w:t>
      </w:r>
    </w:p>
    <w:p w:rsidR="00B447EA" w:rsidRPr="00712367" w:rsidRDefault="008B0C8F" w:rsidP="00F4453D">
      <w:r>
        <w:t>F</w:t>
      </w:r>
      <w:r w:rsidR="00047B7F">
        <w:t xml:space="preserve">urther research and outreach to employers will help </w:t>
      </w:r>
      <w:r w:rsidR="00F4453D">
        <w:t>to address these questions and</w:t>
      </w:r>
      <w:r w:rsidR="00047B7F">
        <w:t xml:space="preserve"> aid Minnesota’s employers in welcoming tomorrow’s more diverse workforce.</w:t>
      </w:r>
    </w:p>
    <w:sectPr w:rsidR="00B447EA" w:rsidRPr="00712367" w:rsidSect="009B2771">
      <w:footerReference w:type="default" r:id="rId3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BC1" w:rsidRDefault="00C56BC1" w:rsidP="000065AB">
      <w:pPr>
        <w:spacing w:after="0" w:line="240" w:lineRule="auto"/>
      </w:pPr>
      <w:r>
        <w:separator/>
      </w:r>
    </w:p>
  </w:endnote>
  <w:endnote w:type="continuationSeparator" w:id="0">
    <w:p w:rsidR="00C56BC1" w:rsidRDefault="00C56BC1" w:rsidP="0000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095466"/>
      <w:docPartObj>
        <w:docPartGallery w:val="Page Numbers (Bottom of Page)"/>
        <w:docPartUnique/>
      </w:docPartObj>
    </w:sdtPr>
    <w:sdtEndPr>
      <w:rPr>
        <w:noProof/>
      </w:rPr>
    </w:sdtEndPr>
    <w:sdtContent>
      <w:p w:rsidR="000B37E9" w:rsidRDefault="000B37E9">
        <w:pPr>
          <w:pStyle w:val="Footer"/>
          <w:jc w:val="right"/>
        </w:pPr>
        <w:r>
          <w:fldChar w:fldCharType="begin"/>
        </w:r>
        <w:r>
          <w:instrText xml:space="preserve"> PAGE   \* MERGEFORMAT </w:instrText>
        </w:r>
        <w:r>
          <w:fldChar w:fldCharType="separate"/>
        </w:r>
        <w:r w:rsidR="00F8735A">
          <w:rPr>
            <w:noProof/>
          </w:rPr>
          <w:t>25</w:t>
        </w:r>
        <w:r>
          <w:rPr>
            <w:noProof/>
          </w:rPr>
          <w:fldChar w:fldCharType="end"/>
        </w:r>
      </w:p>
    </w:sdtContent>
  </w:sdt>
  <w:p w:rsidR="000B37E9" w:rsidRDefault="000B3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BC1" w:rsidRDefault="00C56BC1" w:rsidP="000065AB">
      <w:pPr>
        <w:spacing w:after="0" w:line="240" w:lineRule="auto"/>
      </w:pPr>
      <w:r>
        <w:separator/>
      </w:r>
    </w:p>
  </w:footnote>
  <w:footnote w:type="continuationSeparator" w:id="0">
    <w:p w:rsidR="00C56BC1" w:rsidRDefault="00C56BC1" w:rsidP="000065AB">
      <w:pPr>
        <w:spacing w:after="0" w:line="240" w:lineRule="auto"/>
      </w:pPr>
      <w:r>
        <w:continuationSeparator/>
      </w:r>
    </w:p>
  </w:footnote>
  <w:footnote w:id="1">
    <w:p w:rsidR="000B37E9" w:rsidRDefault="000B37E9">
      <w:pPr>
        <w:pStyle w:val="FootnoteText"/>
      </w:pPr>
      <w:r>
        <w:rPr>
          <w:rStyle w:val="FootnoteReference"/>
        </w:rPr>
        <w:footnoteRef/>
      </w:r>
      <w:r>
        <w:t xml:space="preserve"> </w:t>
      </w:r>
      <w:hyperlink r:id="rId1" w:history="1">
        <w:r w:rsidRPr="00D808FC">
          <w:rPr>
            <w:rStyle w:val="Hyperlink"/>
            <w:i/>
          </w:rPr>
          <w:t>Minnesota Population Projections by Race and Hispanic Origin, 2005 to 2035</w:t>
        </w:r>
      </w:hyperlink>
      <w:r>
        <w:t>, Minnesota State Demographic Center, January 2009</w:t>
      </w:r>
    </w:p>
  </w:footnote>
  <w:footnote w:id="2">
    <w:p w:rsidR="000B37E9" w:rsidRDefault="000B37E9" w:rsidP="00D808FC">
      <w:pPr>
        <w:pStyle w:val="FootnoteText"/>
      </w:pPr>
      <w:r>
        <w:rPr>
          <w:rStyle w:val="FootnoteReference"/>
        </w:rPr>
        <w:footnoteRef/>
      </w:r>
      <w:r>
        <w:t xml:space="preserve"> </w:t>
      </w:r>
      <w:hyperlink r:id="rId2" w:history="1">
        <w:r w:rsidRPr="00D808FC">
          <w:rPr>
            <w:rStyle w:val="Hyperlink"/>
            <w:i/>
          </w:rPr>
          <w:t xml:space="preserve">The Economic Status of Minnesotans: A </w:t>
        </w:r>
        <w:proofErr w:type="spellStart"/>
        <w:r w:rsidRPr="00D808FC">
          <w:rPr>
            <w:rStyle w:val="Hyperlink"/>
            <w:i/>
          </w:rPr>
          <w:t>Chartbook</w:t>
        </w:r>
        <w:proofErr w:type="spellEnd"/>
        <w:r w:rsidRPr="00D808FC">
          <w:rPr>
            <w:rStyle w:val="Hyperlink"/>
            <w:i/>
          </w:rPr>
          <w:t xml:space="preserve"> </w:t>
        </w:r>
        <w:proofErr w:type="gramStart"/>
        <w:r w:rsidRPr="00D808FC">
          <w:rPr>
            <w:rStyle w:val="Hyperlink"/>
            <w:i/>
          </w:rPr>
          <w:t>With</w:t>
        </w:r>
        <w:proofErr w:type="gramEnd"/>
        <w:r w:rsidRPr="00D808FC">
          <w:rPr>
            <w:rStyle w:val="Hyperlink"/>
            <w:i/>
          </w:rPr>
          <w:t xml:space="preserve"> Data For 17 Cultural Groups</w:t>
        </w:r>
      </w:hyperlink>
      <w:r>
        <w:t>, Minnesota State Demographic Center, January 2016.</w:t>
      </w:r>
    </w:p>
  </w:footnote>
  <w:footnote w:id="3">
    <w:p w:rsidR="000B37E9" w:rsidRDefault="000B37E9">
      <w:pPr>
        <w:pStyle w:val="FootnoteText"/>
      </w:pPr>
      <w:r>
        <w:rPr>
          <w:rStyle w:val="FootnoteReference"/>
        </w:rPr>
        <w:footnoteRef/>
      </w:r>
      <w:r>
        <w:t xml:space="preserve"> </w:t>
      </w:r>
      <w:r w:rsidRPr="00204D8A">
        <w:t>Note that the Other Services industry is a catchall category that includes “equipment and machinery repairing, promoting or administering religious activities, grantmaking, advocacy, and providing dry</w:t>
      </w:r>
      <w:r>
        <w:t xml:space="preserve">cleaning and laundry services”. The full definition is available on the </w:t>
      </w:r>
      <w:hyperlink r:id="rId3" w:history="1">
        <w:r w:rsidRPr="00204D8A">
          <w:rPr>
            <w:rStyle w:val="Hyperlink"/>
          </w:rPr>
          <w:t>Bureau of Labor Statistics website</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C4033"/>
    <w:multiLevelType w:val="hybridMultilevel"/>
    <w:tmpl w:val="99C0023A"/>
    <w:lvl w:ilvl="0" w:tplc="1EAE61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F7AB1"/>
    <w:multiLevelType w:val="hybridMultilevel"/>
    <w:tmpl w:val="A878991C"/>
    <w:lvl w:ilvl="0" w:tplc="D424FB4C">
      <w:numFmt w:val="bullet"/>
      <w:lvlText w:val="–"/>
      <w:lvlJc w:val="left"/>
      <w:pPr>
        <w:ind w:left="720" w:hanging="360"/>
      </w:pPr>
      <w:rPr>
        <w:rFonts w:ascii="Calibri" w:eastAsiaTheme="minorHAnsi" w:hAnsi="Calibri" w:cstheme="minorBidi" w:hint="default"/>
      </w:rPr>
    </w:lvl>
    <w:lvl w:ilvl="1" w:tplc="CE0EABE0">
      <w:start w:val="8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761C0"/>
    <w:multiLevelType w:val="hybridMultilevel"/>
    <w:tmpl w:val="BF4A1178"/>
    <w:lvl w:ilvl="0" w:tplc="CE0EABE0">
      <w:start w:val="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14B5A"/>
    <w:multiLevelType w:val="hybridMultilevel"/>
    <w:tmpl w:val="E74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E0938"/>
    <w:multiLevelType w:val="hybridMultilevel"/>
    <w:tmpl w:val="ECF622BE"/>
    <w:lvl w:ilvl="0" w:tplc="AE1CD9CC">
      <w:start w:val="16"/>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4C"/>
    <w:rsid w:val="00005E2D"/>
    <w:rsid w:val="000065AB"/>
    <w:rsid w:val="00010579"/>
    <w:rsid w:val="00024381"/>
    <w:rsid w:val="00026604"/>
    <w:rsid w:val="00027F4A"/>
    <w:rsid w:val="000334F8"/>
    <w:rsid w:val="00043B93"/>
    <w:rsid w:val="000445CB"/>
    <w:rsid w:val="00047B7F"/>
    <w:rsid w:val="000543CE"/>
    <w:rsid w:val="000758F4"/>
    <w:rsid w:val="00076EB4"/>
    <w:rsid w:val="00081174"/>
    <w:rsid w:val="0009021B"/>
    <w:rsid w:val="000A0C1C"/>
    <w:rsid w:val="000B37E9"/>
    <w:rsid w:val="000B3AC7"/>
    <w:rsid w:val="000B5EAC"/>
    <w:rsid w:val="000C0E3E"/>
    <w:rsid w:val="000C7554"/>
    <w:rsid w:val="000E645E"/>
    <w:rsid w:val="001051B5"/>
    <w:rsid w:val="0011375D"/>
    <w:rsid w:val="00115084"/>
    <w:rsid w:val="001452DB"/>
    <w:rsid w:val="001467FC"/>
    <w:rsid w:val="00153444"/>
    <w:rsid w:val="00153DC9"/>
    <w:rsid w:val="001577E1"/>
    <w:rsid w:val="0016032A"/>
    <w:rsid w:val="00171BB3"/>
    <w:rsid w:val="00185373"/>
    <w:rsid w:val="00193C12"/>
    <w:rsid w:val="001A365D"/>
    <w:rsid w:val="001B1B56"/>
    <w:rsid w:val="001B35E3"/>
    <w:rsid w:val="001B39F0"/>
    <w:rsid w:val="001E468A"/>
    <w:rsid w:val="001F5526"/>
    <w:rsid w:val="0020021E"/>
    <w:rsid w:val="00200D63"/>
    <w:rsid w:val="00204D8A"/>
    <w:rsid w:val="002146C6"/>
    <w:rsid w:val="00224DD0"/>
    <w:rsid w:val="002253E8"/>
    <w:rsid w:val="002365D8"/>
    <w:rsid w:val="00236CBC"/>
    <w:rsid w:val="002429C2"/>
    <w:rsid w:val="00247079"/>
    <w:rsid w:val="00254505"/>
    <w:rsid w:val="00255C5B"/>
    <w:rsid w:val="00264359"/>
    <w:rsid w:val="00265EA2"/>
    <w:rsid w:val="0027058D"/>
    <w:rsid w:val="00272ECE"/>
    <w:rsid w:val="00281767"/>
    <w:rsid w:val="00290182"/>
    <w:rsid w:val="002A247A"/>
    <w:rsid w:val="002A3362"/>
    <w:rsid w:val="002A624B"/>
    <w:rsid w:val="002C0D72"/>
    <w:rsid w:val="002F7486"/>
    <w:rsid w:val="003253B7"/>
    <w:rsid w:val="003362DF"/>
    <w:rsid w:val="00337707"/>
    <w:rsid w:val="003432AC"/>
    <w:rsid w:val="00371230"/>
    <w:rsid w:val="003851DC"/>
    <w:rsid w:val="00395A9A"/>
    <w:rsid w:val="003960CE"/>
    <w:rsid w:val="003A1667"/>
    <w:rsid w:val="003B45B0"/>
    <w:rsid w:val="003D1DF1"/>
    <w:rsid w:val="003D5CCD"/>
    <w:rsid w:val="003D7804"/>
    <w:rsid w:val="003E1A1D"/>
    <w:rsid w:val="003F1CBF"/>
    <w:rsid w:val="003F675E"/>
    <w:rsid w:val="00415BEE"/>
    <w:rsid w:val="00417EA8"/>
    <w:rsid w:val="0042546F"/>
    <w:rsid w:val="00433896"/>
    <w:rsid w:val="0043683F"/>
    <w:rsid w:val="0044251B"/>
    <w:rsid w:val="004548F3"/>
    <w:rsid w:val="0046227D"/>
    <w:rsid w:val="004959EB"/>
    <w:rsid w:val="004A3E3D"/>
    <w:rsid w:val="004A57FD"/>
    <w:rsid w:val="004B14EA"/>
    <w:rsid w:val="004B39CF"/>
    <w:rsid w:val="004C5974"/>
    <w:rsid w:val="004D4B79"/>
    <w:rsid w:val="004D6D8D"/>
    <w:rsid w:val="004E114C"/>
    <w:rsid w:val="004E4853"/>
    <w:rsid w:val="004E7CD0"/>
    <w:rsid w:val="004F229C"/>
    <w:rsid w:val="004F4703"/>
    <w:rsid w:val="004F4D95"/>
    <w:rsid w:val="0052075A"/>
    <w:rsid w:val="00522729"/>
    <w:rsid w:val="00523E14"/>
    <w:rsid w:val="0053384D"/>
    <w:rsid w:val="0053598A"/>
    <w:rsid w:val="005517A0"/>
    <w:rsid w:val="00553BFD"/>
    <w:rsid w:val="00561AA2"/>
    <w:rsid w:val="0056787B"/>
    <w:rsid w:val="0057454F"/>
    <w:rsid w:val="005766AE"/>
    <w:rsid w:val="00586344"/>
    <w:rsid w:val="00593416"/>
    <w:rsid w:val="00593464"/>
    <w:rsid w:val="00594C1F"/>
    <w:rsid w:val="005976CE"/>
    <w:rsid w:val="005C7933"/>
    <w:rsid w:val="005D3CB2"/>
    <w:rsid w:val="005E061A"/>
    <w:rsid w:val="005F423B"/>
    <w:rsid w:val="00602678"/>
    <w:rsid w:val="0061336E"/>
    <w:rsid w:val="00615272"/>
    <w:rsid w:val="006432AF"/>
    <w:rsid w:val="00650369"/>
    <w:rsid w:val="00660EE3"/>
    <w:rsid w:val="006732F9"/>
    <w:rsid w:val="00675186"/>
    <w:rsid w:val="0067700D"/>
    <w:rsid w:val="00686761"/>
    <w:rsid w:val="00696D2F"/>
    <w:rsid w:val="006A0A6A"/>
    <w:rsid w:val="006B5DC5"/>
    <w:rsid w:val="006D0C92"/>
    <w:rsid w:val="006D196D"/>
    <w:rsid w:val="006D1F61"/>
    <w:rsid w:val="006D706F"/>
    <w:rsid w:val="006D7469"/>
    <w:rsid w:val="006F4BAB"/>
    <w:rsid w:val="00712367"/>
    <w:rsid w:val="00721F23"/>
    <w:rsid w:val="00726F1D"/>
    <w:rsid w:val="007308E8"/>
    <w:rsid w:val="00737955"/>
    <w:rsid w:val="00751185"/>
    <w:rsid w:val="00755CF1"/>
    <w:rsid w:val="0076153B"/>
    <w:rsid w:val="00767C4C"/>
    <w:rsid w:val="00770093"/>
    <w:rsid w:val="007769C0"/>
    <w:rsid w:val="00776A9F"/>
    <w:rsid w:val="00781C86"/>
    <w:rsid w:val="00781D81"/>
    <w:rsid w:val="00792D8E"/>
    <w:rsid w:val="00795832"/>
    <w:rsid w:val="007A2294"/>
    <w:rsid w:val="007B4D1C"/>
    <w:rsid w:val="007B58A3"/>
    <w:rsid w:val="007C4978"/>
    <w:rsid w:val="007E1645"/>
    <w:rsid w:val="007F2709"/>
    <w:rsid w:val="007F65A3"/>
    <w:rsid w:val="00807887"/>
    <w:rsid w:val="00816E89"/>
    <w:rsid w:val="0082598B"/>
    <w:rsid w:val="008529FF"/>
    <w:rsid w:val="0085449F"/>
    <w:rsid w:val="008601FE"/>
    <w:rsid w:val="008652C0"/>
    <w:rsid w:val="00876D90"/>
    <w:rsid w:val="00880F46"/>
    <w:rsid w:val="00885ADD"/>
    <w:rsid w:val="008A1BE6"/>
    <w:rsid w:val="008A2C0D"/>
    <w:rsid w:val="008A2F54"/>
    <w:rsid w:val="008B0C8F"/>
    <w:rsid w:val="008D00A3"/>
    <w:rsid w:val="008F108D"/>
    <w:rsid w:val="008F1AD4"/>
    <w:rsid w:val="00902FA3"/>
    <w:rsid w:val="00941E92"/>
    <w:rsid w:val="009558B5"/>
    <w:rsid w:val="00957C2E"/>
    <w:rsid w:val="0098329C"/>
    <w:rsid w:val="009863B8"/>
    <w:rsid w:val="009879E5"/>
    <w:rsid w:val="00992E56"/>
    <w:rsid w:val="0099773A"/>
    <w:rsid w:val="009A23B0"/>
    <w:rsid w:val="009A7AE7"/>
    <w:rsid w:val="009B2771"/>
    <w:rsid w:val="009B2B93"/>
    <w:rsid w:val="009B3410"/>
    <w:rsid w:val="009B6AB6"/>
    <w:rsid w:val="009C193C"/>
    <w:rsid w:val="009C22ED"/>
    <w:rsid w:val="009C40A8"/>
    <w:rsid w:val="009E0131"/>
    <w:rsid w:val="00A00829"/>
    <w:rsid w:val="00A2453B"/>
    <w:rsid w:val="00A257D1"/>
    <w:rsid w:val="00A27D13"/>
    <w:rsid w:val="00A33B8F"/>
    <w:rsid w:val="00A36AB1"/>
    <w:rsid w:val="00A4279F"/>
    <w:rsid w:val="00A43435"/>
    <w:rsid w:val="00A443A5"/>
    <w:rsid w:val="00A52090"/>
    <w:rsid w:val="00A6211F"/>
    <w:rsid w:val="00A75660"/>
    <w:rsid w:val="00A76C12"/>
    <w:rsid w:val="00A86062"/>
    <w:rsid w:val="00A950CC"/>
    <w:rsid w:val="00A96797"/>
    <w:rsid w:val="00AA020B"/>
    <w:rsid w:val="00AB5483"/>
    <w:rsid w:val="00AD21E7"/>
    <w:rsid w:val="00AE425A"/>
    <w:rsid w:val="00B161A3"/>
    <w:rsid w:val="00B17781"/>
    <w:rsid w:val="00B447EA"/>
    <w:rsid w:val="00B5300A"/>
    <w:rsid w:val="00B56C4B"/>
    <w:rsid w:val="00B579B2"/>
    <w:rsid w:val="00B703A7"/>
    <w:rsid w:val="00B766DE"/>
    <w:rsid w:val="00B829E5"/>
    <w:rsid w:val="00B875AE"/>
    <w:rsid w:val="00B919F6"/>
    <w:rsid w:val="00BA3392"/>
    <w:rsid w:val="00BB3550"/>
    <w:rsid w:val="00BC62A4"/>
    <w:rsid w:val="00BD7809"/>
    <w:rsid w:val="00BE4A0C"/>
    <w:rsid w:val="00BE74FB"/>
    <w:rsid w:val="00BF7E5D"/>
    <w:rsid w:val="00C00564"/>
    <w:rsid w:val="00C012A0"/>
    <w:rsid w:val="00C23550"/>
    <w:rsid w:val="00C27C05"/>
    <w:rsid w:val="00C40CBA"/>
    <w:rsid w:val="00C5411B"/>
    <w:rsid w:val="00C546BA"/>
    <w:rsid w:val="00C56BC1"/>
    <w:rsid w:val="00C56CAF"/>
    <w:rsid w:val="00C70E0D"/>
    <w:rsid w:val="00C76B1D"/>
    <w:rsid w:val="00C771F4"/>
    <w:rsid w:val="00C803FD"/>
    <w:rsid w:val="00C84CAC"/>
    <w:rsid w:val="00C90668"/>
    <w:rsid w:val="00C90F37"/>
    <w:rsid w:val="00C9188F"/>
    <w:rsid w:val="00C953C8"/>
    <w:rsid w:val="00C96D23"/>
    <w:rsid w:val="00CA077A"/>
    <w:rsid w:val="00CB01A6"/>
    <w:rsid w:val="00CC3CCF"/>
    <w:rsid w:val="00CD0813"/>
    <w:rsid w:val="00CE1135"/>
    <w:rsid w:val="00CF4366"/>
    <w:rsid w:val="00CF6B90"/>
    <w:rsid w:val="00CF7F7F"/>
    <w:rsid w:val="00D04A13"/>
    <w:rsid w:val="00D0576E"/>
    <w:rsid w:val="00D12F04"/>
    <w:rsid w:val="00D16622"/>
    <w:rsid w:val="00D2232F"/>
    <w:rsid w:val="00D26D0A"/>
    <w:rsid w:val="00D439DD"/>
    <w:rsid w:val="00D4703D"/>
    <w:rsid w:val="00D567F2"/>
    <w:rsid w:val="00D67D55"/>
    <w:rsid w:val="00D808FC"/>
    <w:rsid w:val="00D82B68"/>
    <w:rsid w:val="00D85F6C"/>
    <w:rsid w:val="00D8677A"/>
    <w:rsid w:val="00D95D68"/>
    <w:rsid w:val="00DA4D0F"/>
    <w:rsid w:val="00DA71C6"/>
    <w:rsid w:val="00DC77FD"/>
    <w:rsid w:val="00DD3654"/>
    <w:rsid w:val="00DD3FA7"/>
    <w:rsid w:val="00DD7E4A"/>
    <w:rsid w:val="00DE27F8"/>
    <w:rsid w:val="00DE4872"/>
    <w:rsid w:val="00E00393"/>
    <w:rsid w:val="00E065E4"/>
    <w:rsid w:val="00E47B9C"/>
    <w:rsid w:val="00E7642E"/>
    <w:rsid w:val="00E8263E"/>
    <w:rsid w:val="00E862E8"/>
    <w:rsid w:val="00E868F3"/>
    <w:rsid w:val="00EA3296"/>
    <w:rsid w:val="00EB220F"/>
    <w:rsid w:val="00EC0EB4"/>
    <w:rsid w:val="00EC4940"/>
    <w:rsid w:val="00EE2E7F"/>
    <w:rsid w:val="00EE361C"/>
    <w:rsid w:val="00EE663E"/>
    <w:rsid w:val="00F01395"/>
    <w:rsid w:val="00F14914"/>
    <w:rsid w:val="00F165C7"/>
    <w:rsid w:val="00F4453D"/>
    <w:rsid w:val="00F45641"/>
    <w:rsid w:val="00F72039"/>
    <w:rsid w:val="00F7244F"/>
    <w:rsid w:val="00F748E8"/>
    <w:rsid w:val="00F75741"/>
    <w:rsid w:val="00F772EA"/>
    <w:rsid w:val="00F83557"/>
    <w:rsid w:val="00F872D0"/>
    <w:rsid w:val="00F8735A"/>
    <w:rsid w:val="00FB7A0E"/>
    <w:rsid w:val="00FC1934"/>
    <w:rsid w:val="00FD2B09"/>
    <w:rsid w:val="00FD65BF"/>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A4F88-5762-4F54-BA6A-560E5F69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247A"/>
    <w:pPr>
      <w:keepNext/>
      <w:keepLines/>
      <w:spacing w:before="240" w:after="0"/>
      <w:outlineLvl w:val="0"/>
    </w:pPr>
    <w:rPr>
      <w:rFonts w:asciiTheme="majorHAnsi" w:eastAsiaTheme="majorEastAsia" w:hAnsiTheme="majorHAnsi" w:cstheme="majorBidi"/>
      <w:color w:val="404040" w:themeColor="text1" w:themeTint="BF"/>
      <w:sz w:val="32"/>
      <w:szCs w:val="32"/>
    </w:rPr>
  </w:style>
  <w:style w:type="paragraph" w:styleId="Heading2">
    <w:name w:val="heading 2"/>
    <w:basedOn w:val="Normal"/>
    <w:next w:val="Normal"/>
    <w:link w:val="Heading2Char"/>
    <w:uiPriority w:val="9"/>
    <w:unhideWhenUsed/>
    <w:qFormat/>
    <w:rsid w:val="002A247A"/>
    <w:pPr>
      <w:keepNext/>
      <w:keepLines/>
      <w:spacing w:before="40" w:after="0"/>
      <w:outlineLvl w:val="1"/>
    </w:pPr>
    <w:rPr>
      <w:rFonts w:asciiTheme="majorHAnsi" w:eastAsiaTheme="majorEastAsia" w:hAnsiTheme="majorHAnsi" w:cstheme="majorBidi"/>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11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1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A247A"/>
    <w:rPr>
      <w:rFonts w:asciiTheme="majorHAnsi" w:eastAsiaTheme="majorEastAsia" w:hAnsiTheme="majorHAnsi" w:cstheme="majorBidi"/>
      <w:color w:val="404040" w:themeColor="text1" w:themeTint="BF"/>
      <w:sz w:val="32"/>
      <w:szCs w:val="32"/>
    </w:rPr>
  </w:style>
  <w:style w:type="character" w:customStyle="1" w:styleId="Heading2Char">
    <w:name w:val="Heading 2 Char"/>
    <w:basedOn w:val="DefaultParagraphFont"/>
    <w:link w:val="Heading2"/>
    <w:uiPriority w:val="9"/>
    <w:rsid w:val="002A247A"/>
    <w:rPr>
      <w:rFonts w:asciiTheme="majorHAnsi" w:eastAsiaTheme="majorEastAsia" w:hAnsiTheme="majorHAnsi" w:cstheme="majorBidi"/>
      <w:color w:val="404040" w:themeColor="text1" w:themeTint="BF"/>
      <w:sz w:val="26"/>
      <w:szCs w:val="26"/>
    </w:rPr>
  </w:style>
  <w:style w:type="paragraph" w:styleId="ListParagraph">
    <w:name w:val="List Paragraph"/>
    <w:basedOn w:val="Normal"/>
    <w:uiPriority w:val="34"/>
    <w:qFormat/>
    <w:rsid w:val="007C4978"/>
    <w:pPr>
      <w:ind w:left="720"/>
      <w:contextualSpacing/>
    </w:pPr>
  </w:style>
  <w:style w:type="character" w:styleId="Hyperlink">
    <w:name w:val="Hyperlink"/>
    <w:basedOn w:val="DefaultParagraphFont"/>
    <w:uiPriority w:val="99"/>
    <w:unhideWhenUsed/>
    <w:rsid w:val="004E7CD0"/>
    <w:rPr>
      <w:color w:val="0563C1" w:themeColor="hyperlink"/>
      <w:u w:val="single"/>
    </w:rPr>
  </w:style>
  <w:style w:type="paragraph" w:styleId="Subtitle">
    <w:name w:val="Subtitle"/>
    <w:basedOn w:val="Normal"/>
    <w:next w:val="Normal"/>
    <w:link w:val="SubtitleChar"/>
    <w:uiPriority w:val="11"/>
    <w:qFormat/>
    <w:rsid w:val="004E7C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7CD0"/>
    <w:rPr>
      <w:rFonts w:eastAsiaTheme="minorEastAsia"/>
      <w:color w:val="5A5A5A" w:themeColor="text1" w:themeTint="A5"/>
      <w:spacing w:val="15"/>
    </w:rPr>
  </w:style>
  <w:style w:type="paragraph" w:styleId="Header">
    <w:name w:val="header"/>
    <w:basedOn w:val="Normal"/>
    <w:link w:val="HeaderChar"/>
    <w:uiPriority w:val="99"/>
    <w:unhideWhenUsed/>
    <w:rsid w:val="0000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5AB"/>
  </w:style>
  <w:style w:type="paragraph" w:styleId="Footer">
    <w:name w:val="footer"/>
    <w:basedOn w:val="Normal"/>
    <w:link w:val="FooterChar"/>
    <w:uiPriority w:val="99"/>
    <w:unhideWhenUsed/>
    <w:rsid w:val="0000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5AB"/>
  </w:style>
  <w:style w:type="paragraph" w:styleId="NoSpacing">
    <w:name w:val="No Spacing"/>
    <w:uiPriority w:val="1"/>
    <w:qFormat/>
    <w:rsid w:val="00902FA3"/>
    <w:pPr>
      <w:spacing w:after="0" w:line="240" w:lineRule="auto"/>
    </w:pPr>
  </w:style>
  <w:style w:type="character" w:styleId="FollowedHyperlink">
    <w:name w:val="FollowedHyperlink"/>
    <w:basedOn w:val="DefaultParagraphFont"/>
    <w:uiPriority w:val="99"/>
    <w:semiHidden/>
    <w:unhideWhenUsed/>
    <w:rsid w:val="00D808FC"/>
    <w:rPr>
      <w:color w:val="954F72" w:themeColor="followedHyperlink"/>
      <w:u w:val="single"/>
    </w:rPr>
  </w:style>
  <w:style w:type="paragraph" w:styleId="FootnoteText">
    <w:name w:val="footnote text"/>
    <w:basedOn w:val="Normal"/>
    <w:link w:val="FootnoteTextChar"/>
    <w:uiPriority w:val="99"/>
    <w:semiHidden/>
    <w:unhideWhenUsed/>
    <w:rsid w:val="00D808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FC"/>
    <w:rPr>
      <w:sz w:val="20"/>
      <w:szCs w:val="20"/>
    </w:rPr>
  </w:style>
  <w:style w:type="character" w:styleId="FootnoteReference">
    <w:name w:val="footnote reference"/>
    <w:basedOn w:val="DefaultParagraphFont"/>
    <w:uiPriority w:val="99"/>
    <w:semiHidden/>
    <w:unhideWhenUsed/>
    <w:rsid w:val="00D80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89251">
      <w:bodyDiv w:val="1"/>
      <w:marLeft w:val="0"/>
      <w:marRight w:val="0"/>
      <w:marTop w:val="0"/>
      <w:marBottom w:val="0"/>
      <w:divBdr>
        <w:top w:val="none" w:sz="0" w:space="0" w:color="auto"/>
        <w:left w:val="none" w:sz="0" w:space="0" w:color="auto"/>
        <w:bottom w:val="none" w:sz="0" w:space="0" w:color="auto"/>
        <w:right w:val="none" w:sz="0" w:space="0" w:color="auto"/>
      </w:divBdr>
    </w:div>
    <w:div w:id="851533267">
      <w:bodyDiv w:val="1"/>
      <w:marLeft w:val="0"/>
      <w:marRight w:val="0"/>
      <w:marTop w:val="0"/>
      <w:marBottom w:val="0"/>
      <w:divBdr>
        <w:top w:val="none" w:sz="0" w:space="0" w:color="auto"/>
        <w:left w:val="none" w:sz="0" w:space="0" w:color="auto"/>
        <w:bottom w:val="none" w:sz="0" w:space="0" w:color="auto"/>
        <w:right w:val="none" w:sz="0" w:space="0" w:color="auto"/>
      </w:divBdr>
    </w:div>
    <w:div w:id="15510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5.xml"/><Relationship Id="rId26" Type="http://schemas.openxmlformats.org/officeDocument/2006/relationships/image" Target="media/image7.jpeg"/><Relationship Id="rId39" Type="http://schemas.openxmlformats.org/officeDocument/2006/relationships/theme" Target="theme/theme1.xml"/><Relationship Id="rId21" Type="http://schemas.openxmlformats.org/officeDocument/2006/relationships/chart" Target="charts/chart8.xml"/><Relationship Id="rId34" Type="http://schemas.openxmlformats.org/officeDocument/2006/relationships/image" Target="media/image9.jpeg"/><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3.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1.xml"/><Relationship Id="rId32" Type="http://schemas.openxmlformats.org/officeDocument/2006/relationships/chart" Target="charts/chart16.xml"/><Relationship Id="rId37" Type="http://schemas.openxmlformats.org/officeDocument/2006/relationships/footer" Target="footer1.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hart" Target="charts/chart10.xml"/><Relationship Id="rId28" Type="http://schemas.openxmlformats.org/officeDocument/2006/relationships/image" Target="media/image8.jpeg"/><Relationship Id="rId36" Type="http://schemas.openxmlformats.org/officeDocument/2006/relationships/chart" Target="charts/chart19.xml"/><Relationship Id="rId10" Type="http://schemas.openxmlformats.org/officeDocument/2006/relationships/image" Target="media/image2.jpeg"/><Relationship Id="rId19" Type="http://schemas.openxmlformats.org/officeDocument/2006/relationships/chart" Target="charts/chart6.xm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s://mn.gov/deed/data/research/workforce-diversity/research/survey-methodology.jsp" TargetMode="External"/><Relationship Id="rId14" Type="http://schemas.openxmlformats.org/officeDocument/2006/relationships/image" Target="media/image4.jpeg"/><Relationship Id="rId22" Type="http://schemas.openxmlformats.org/officeDocument/2006/relationships/chart" Target="charts/chart9.xml"/><Relationship Id="rId27" Type="http://schemas.openxmlformats.org/officeDocument/2006/relationships/chart" Target="charts/chart12.xml"/><Relationship Id="rId30" Type="http://schemas.openxmlformats.org/officeDocument/2006/relationships/chart" Target="charts/chart14.xml"/><Relationship Id="rId35" Type="http://schemas.openxmlformats.org/officeDocument/2006/relationships/chart" Target="charts/chart1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4.xml"/><Relationship Id="rId25" Type="http://schemas.openxmlformats.org/officeDocument/2006/relationships/image" Target="media/image6.jpeg"/><Relationship Id="rId33" Type="http://schemas.openxmlformats.org/officeDocument/2006/relationships/chart" Target="charts/chart17.xml"/><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iag/tgs/iag81.htm" TargetMode="External"/><Relationship Id="rId2" Type="http://schemas.openxmlformats.org/officeDocument/2006/relationships/hyperlink" Target="https://mn.gov/bms-stat/assets/the-economic-status-of-minnesotans-chartbook-msdc-jan2016-post.pdf" TargetMode="External"/><Relationship Id="rId1" Type="http://schemas.openxmlformats.org/officeDocument/2006/relationships/hyperlink" Target="https://mn.gov/bms-stat/assets/mn-population-projections-by-race-hispanic-origin-2005to2035-msdc-jan2009.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QWI%20POC%20by%20firm%20siz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QWI%20Industry%20POC.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mndeeddom.deed.state.mn.us\data\HQ-CARD\Groups\PPM\Employer%20Workforce%20Diversity\Employer%20Survey\Analysis\Statewide%20Results_Analysis%20by%20Questi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a:t>
            </a:r>
            <a:r>
              <a:rPr lang="en-US" sz="1200" baseline="0"/>
              <a:t>1. </a:t>
            </a:r>
            <a:r>
              <a:rPr lang="en-US" sz="1200"/>
              <a:t>Percent</a:t>
            </a:r>
            <a:r>
              <a:rPr lang="en-US" sz="1200" baseline="0"/>
              <a:t> reporting they include the following in their definition of diversity</a:t>
            </a:r>
            <a:endParaRPr lang="en-US" sz="1200"/>
          </a:p>
        </c:rich>
      </c:tx>
      <c:layout>
        <c:manualLayout>
          <c:xMode val="edge"/>
          <c:yMode val="edge"/>
          <c:x val="0.10540797784892274"/>
          <c:y val="1.4203137398522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'Q1'!$D$6</c:f>
              <c:strCache>
                <c:ptCount val="1"/>
                <c:pt idx="0">
                  <c:v>% Yes</c:v>
                </c:pt>
              </c:strCache>
            </c:strRef>
          </c:tx>
          <c:spPr>
            <a:solidFill>
              <a:srgbClr val="003865"/>
            </a:solidFill>
            <a:ln>
              <a:solidFill>
                <a:srgbClr val="003865"/>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'Q1'!$A$7:$A$21</c:f>
              <c:strCache>
                <c:ptCount val="15"/>
                <c:pt idx="0">
                  <c:v>Unsure/don't know</c:v>
                </c:pt>
                <c:pt idx="1">
                  <c:v>Not applicable</c:v>
                </c:pt>
                <c:pt idx="2">
                  <c:v>Other - write in</c:v>
                </c:pt>
                <c:pt idx="3">
                  <c:v>Criminal background</c:v>
                </c:pt>
                <c:pt idx="4">
                  <c:v>Personality type</c:v>
                </c:pt>
                <c:pt idx="5">
                  <c:v>Values/beliefs</c:v>
                </c:pt>
                <c:pt idx="6">
                  <c:v>Language spoken</c:v>
                </c:pt>
                <c:pt idx="7">
                  <c:v>Veteran status</c:v>
                </c:pt>
                <c:pt idx="8">
                  <c:v>Religion</c:v>
                </c:pt>
                <c:pt idx="9">
                  <c:v>Sexual orientation</c:v>
                </c:pt>
                <c:pt idx="10">
                  <c:v>Disability</c:v>
                </c:pt>
                <c:pt idx="11">
                  <c:v>National origin</c:v>
                </c:pt>
                <c:pt idx="12">
                  <c:v>Age</c:v>
                </c:pt>
                <c:pt idx="13">
                  <c:v>Gender</c:v>
                </c:pt>
                <c:pt idx="14">
                  <c:v>Race/ethnicity</c:v>
                </c:pt>
              </c:strCache>
            </c:strRef>
          </c:cat>
          <c:val>
            <c:numRef>
              <c:f>'Q1'!$D$7:$D$21</c:f>
              <c:numCache>
                <c:formatCode>0%</c:formatCode>
                <c:ptCount val="15"/>
                <c:pt idx="0">
                  <c:v>2.598652550529355E-2</c:v>
                </c:pt>
                <c:pt idx="1">
                  <c:v>3.6573628488931663E-2</c:v>
                </c:pt>
                <c:pt idx="2">
                  <c:v>3.7536092396535131E-2</c:v>
                </c:pt>
                <c:pt idx="3">
                  <c:v>0.1588065447545717</c:v>
                </c:pt>
                <c:pt idx="4">
                  <c:v>0.27237728585178056</c:v>
                </c:pt>
                <c:pt idx="5">
                  <c:v>0.3089509143407122</c:v>
                </c:pt>
                <c:pt idx="6">
                  <c:v>0.39557266602502406</c:v>
                </c:pt>
                <c:pt idx="7">
                  <c:v>0.43118383060635224</c:v>
                </c:pt>
                <c:pt idx="8">
                  <c:v>0.46487006737247355</c:v>
                </c:pt>
                <c:pt idx="9">
                  <c:v>0.52069297401347447</c:v>
                </c:pt>
                <c:pt idx="10">
                  <c:v>0.57747834456207892</c:v>
                </c:pt>
                <c:pt idx="11">
                  <c:v>0.64773820981713182</c:v>
                </c:pt>
                <c:pt idx="12">
                  <c:v>0.76034648700673724</c:v>
                </c:pt>
                <c:pt idx="13">
                  <c:v>0.77382098171318581</c:v>
                </c:pt>
                <c:pt idx="14">
                  <c:v>0.86621751684311843</c:v>
                </c:pt>
              </c:numCache>
            </c:numRef>
          </c:val>
        </c:ser>
        <c:dLbls>
          <c:showLegendKey val="0"/>
          <c:showVal val="0"/>
          <c:showCatName val="0"/>
          <c:showSerName val="0"/>
          <c:showPercent val="0"/>
          <c:showBubbleSize val="0"/>
        </c:dLbls>
        <c:gapWidth val="182"/>
        <c:axId val="136310344"/>
        <c:axId val="136172880"/>
      </c:barChart>
      <c:catAx>
        <c:axId val="136310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72880"/>
        <c:crosses val="autoZero"/>
        <c:auto val="1"/>
        <c:lblAlgn val="ctr"/>
        <c:lblOffset val="100"/>
        <c:noMultiLvlLbl val="0"/>
      </c:catAx>
      <c:valAx>
        <c:axId val="136172880"/>
        <c:scaling>
          <c:orientation val="minMax"/>
        </c:scaling>
        <c:delete val="1"/>
        <c:axPos val="b"/>
        <c:numFmt formatCode="0%" sourceLinked="1"/>
        <c:majorTickMark val="none"/>
        <c:minorTickMark val="none"/>
        <c:tickLblPos val="nextTo"/>
        <c:crossAx val="136310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Figure 14. Percent reporting that their workforce is more, equally, or less racially diverse than their direct competitors' workforces, by industry</a:t>
            </a:r>
            <a:endParaRPr lang="en-US" sz="105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6"/>
          <c:order val="6"/>
          <c:tx>
            <c:strRef>
              <c:f>'Q6'!$H$57</c:f>
              <c:strCache>
                <c:ptCount val="1"/>
                <c:pt idx="0">
                  <c:v>% MORE</c:v>
                </c:pt>
              </c:strCache>
            </c:strRef>
          </c:tx>
          <c:spPr>
            <a:solidFill>
              <a:schemeClr val="accent1"/>
            </a:solidFill>
            <a:ln>
              <a:noFill/>
            </a:ln>
            <a:effectLst/>
          </c:spPr>
          <c:invertIfNegative val="0"/>
          <c:cat>
            <c:strRef>
              <c:f>'Q6'!$A$58:$A$68</c:f>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f>'Q6'!$H$58:$H$68</c:f>
              <c:numCache>
                <c:formatCode>0%</c:formatCode>
                <c:ptCount val="11"/>
                <c:pt idx="0">
                  <c:v>1.1764705882352941E-2</c:v>
                </c:pt>
                <c:pt idx="1">
                  <c:v>2.2727272727272728E-2</c:v>
                </c:pt>
                <c:pt idx="2">
                  <c:v>3.7735849056603772E-2</c:v>
                </c:pt>
                <c:pt idx="3">
                  <c:v>5.5555555555555552E-2</c:v>
                </c:pt>
                <c:pt idx="4">
                  <c:v>5.9602649006622516E-2</c:v>
                </c:pt>
                <c:pt idx="5">
                  <c:v>7.5471698113207544E-2</c:v>
                </c:pt>
                <c:pt idx="6">
                  <c:v>8.3333333333333329E-2</c:v>
                </c:pt>
                <c:pt idx="7">
                  <c:v>8.98876404494382E-2</c:v>
                </c:pt>
                <c:pt idx="8">
                  <c:v>9.4736842105263161E-2</c:v>
                </c:pt>
                <c:pt idx="9">
                  <c:v>0.15789473684210525</c:v>
                </c:pt>
                <c:pt idx="10">
                  <c:v>0.19148936170212766</c:v>
                </c:pt>
              </c:numCache>
            </c:numRef>
          </c:val>
        </c:ser>
        <c:ser>
          <c:idx val="7"/>
          <c:order val="7"/>
          <c:tx>
            <c:strRef>
              <c:f>'Q6'!$I$57</c:f>
              <c:strCache>
                <c:ptCount val="1"/>
                <c:pt idx="0">
                  <c:v>% SAME</c:v>
                </c:pt>
              </c:strCache>
            </c:strRef>
          </c:tx>
          <c:spPr>
            <a:solidFill>
              <a:schemeClr val="accent3"/>
            </a:solidFill>
            <a:ln>
              <a:noFill/>
            </a:ln>
            <a:effectLst/>
          </c:spPr>
          <c:invertIfNegative val="0"/>
          <c:cat>
            <c:strRef>
              <c:f>'Q6'!$A$58:$A$68</c:f>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f>'Q6'!$I$58:$I$68</c:f>
              <c:numCache>
                <c:formatCode>0%</c:formatCode>
                <c:ptCount val="11"/>
                <c:pt idx="0">
                  <c:v>0.41176470588235292</c:v>
                </c:pt>
                <c:pt idx="1">
                  <c:v>0.54545454545454541</c:v>
                </c:pt>
                <c:pt idx="2">
                  <c:v>0.51886792452830188</c:v>
                </c:pt>
                <c:pt idx="3">
                  <c:v>0.66666666666666663</c:v>
                </c:pt>
                <c:pt idx="4">
                  <c:v>0.54966887417218546</c:v>
                </c:pt>
                <c:pt idx="5">
                  <c:v>0.52830188679245282</c:v>
                </c:pt>
                <c:pt idx="6">
                  <c:v>0.35714285714285715</c:v>
                </c:pt>
                <c:pt idx="7">
                  <c:v>0.5730337078651685</c:v>
                </c:pt>
                <c:pt idx="8">
                  <c:v>0.63157894736842102</c:v>
                </c:pt>
                <c:pt idx="9">
                  <c:v>0.54385964912280704</c:v>
                </c:pt>
                <c:pt idx="10">
                  <c:v>0.34042553191489361</c:v>
                </c:pt>
              </c:numCache>
            </c:numRef>
          </c:val>
        </c:ser>
        <c:ser>
          <c:idx val="8"/>
          <c:order val="8"/>
          <c:tx>
            <c:strRef>
              <c:f>'Q6'!$J$57</c:f>
              <c:strCache>
                <c:ptCount val="1"/>
                <c:pt idx="0">
                  <c:v>% LESS</c:v>
                </c:pt>
              </c:strCache>
            </c:strRef>
          </c:tx>
          <c:spPr>
            <a:solidFill>
              <a:schemeClr val="accent6"/>
            </a:solidFill>
            <a:ln>
              <a:noFill/>
            </a:ln>
            <a:effectLst/>
          </c:spPr>
          <c:invertIfNegative val="0"/>
          <c:cat>
            <c:strRef>
              <c:f>'Q6'!$A$58:$A$68</c:f>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f>'Q6'!$J$58:$J$68</c:f>
              <c:numCache>
                <c:formatCode>0%</c:formatCode>
                <c:ptCount val="11"/>
                <c:pt idx="0">
                  <c:v>9.4117647058823528E-2</c:v>
                </c:pt>
                <c:pt idx="1">
                  <c:v>0.11363636363636363</c:v>
                </c:pt>
                <c:pt idx="2">
                  <c:v>3.7735849056603772E-2</c:v>
                </c:pt>
                <c:pt idx="3">
                  <c:v>2.7777777777777776E-2</c:v>
                </c:pt>
                <c:pt idx="4">
                  <c:v>2.6490066225165563E-2</c:v>
                </c:pt>
                <c:pt idx="5">
                  <c:v>9.4339622641509441E-2</c:v>
                </c:pt>
                <c:pt idx="6">
                  <c:v>3.5714285714285712E-2</c:v>
                </c:pt>
                <c:pt idx="7">
                  <c:v>6.1797752808988762E-2</c:v>
                </c:pt>
                <c:pt idx="8">
                  <c:v>9.4736842105263161E-2</c:v>
                </c:pt>
                <c:pt idx="9">
                  <c:v>2.6315789473684209E-2</c:v>
                </c:pt>
                <c:pt idx="10">
                  <c:v>6.3829787234042548E-2</c:v>
                </c:pt>
              </c:numCache>
            </c:numRef>
          </c:val>
        </c:ser>
        <c:ser>
          <c:idx val="9"/>
          <c:order val="9"/>
          <c:tx>
            <c:strRef>
              <c:f>'Q6'!$K$57</c:f>
              <c:strCache>
                <c:ptCount val="1"/>
                <c:pt idx="0">
                  <c:v>% UNSURE</c:v>
                </c:pt>
              </c:strCache>
            </c:strRef>
          </c:tx>
          <c:spPr>
            <a:solidFill>
              <a:schemeClr val="bg1">
                <a:lumMod val="85000"/>
              </a:schemeClr>
            </a:solidFill>
            <a:ln>
              <a:noFill/>
            </a:ln>
            <a:effectLst/>
          </c:spPr>
          <c:invertIfNegative val="0"/>
          <c:cat>
            <c:strRef>
              <c:f>'Q6'!$A$58:$A$68</c:f>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f>'Q6'!$K$58:$K$68</c:f>
              <c:numCache>
                <c:formatCode>0%</c:formatCode>
                <c:ptCount val="11"/>
                <c:pt idx="0">
                  <c:v>0.4823529411764706</c:v>
                </c:pt>
                <c:pt idx="1">
                  <c:v>0.31818181818181818</c:v>
                </c:pt>
                <c:pt idx="2">
                  <c:v>0.40566037735849059</c:v>
                </c:pt>
                <c:pt idx="3">
                  <c:v>0.25</c:v>
                </c:pt>
                <c:pt idx="4">
                  <c:v>0.36423841059602646</c:v>
                </c:pt>
                <c:pt idx="5">
                  <c:v>0.30188679245283018</c:v>
                </c:pt>
                <c:pt idx="6">
                  <c:v>0.52380952380952384</c:v>
                </c:pt>
                <c:pt idx="7">
                  <c:v>0.2752808988764045</c:v>
                </c:pt>
                <c:pt idx="8">
                  <c:v>0.17894736842105263</c:v>
                </c:pt>
                <c:pt idx="9">
                  <c:v>0.27192982456140352</c:v>
                </c:pt>
                <c:pt idx="10">
                  <c:v>0.40425531914893614</c:v>
                </c:pt>
              </c:numCache>
            </c:numRef>
          </c:val>
        </c:ser>
        <c:dLbls>
          <c:showLegendKey val="0"/>
          <c:showVal val="0"/>
          <c:showCatName val="0"/>
          <c:showSerName val="0"/>
          <c:showPercent val="0"/>
          <c:showBubbleSize val="0"/>
        </c:dLbls>
        <c:gapWidth val="150"/>
        <c:overlap val="100"/>
        <c:axId val="136800672"/>
        <c:axId val="136801064"/>
        <c:extLst>
          <c:ext xmlns:c15="http://schemas.microsoft.com/office/drawing/2012/chart" uri="{02D57815-91ED-43cb-92C2-25804820EDAC}">
            <c15:filteredBarSeries>
              <c15:ser>
                <c:idx val="0"/>
                <c:order val="0"/>
                <c:tx>
                  <c:strRef>
                    <c:extLst>
                      <c:ext uri="{02D57815-91ED-43cb-92C2-25804820EDAC}">
                        <c15:formulaRef>
                          <c15:sqref>'Q6'!$B$57</c15:sqref>
                        </c15:formulaRef>
                      </c:ext>
                    </c:extLst>
                    <c:strCache>
                      <c:ptCount val="1"/>
                      <c:pt idx="0">
                        <c:v>My  workforce is MORE diverse</c:v>
                      </c:pt>
                    </c:strCache>
                  </c:strRef>
                </c:tx>
                <c:spPr>
                  <a:solidFill>
                    <a:schemeClr val="accent1"/>
                  </a:solidFill>
                  <a:ln>
                    <a:noFill/>
                  </a:ln>
                  <a:effectLst/>
                </c:spPr>
                <c:invertIfNegative val="0"/>
                <c:cat>
                  <c:strRef>
                    <c:extLst>
                      <c:ext uri="{02D57815-91ED-43cb-92C2-25804820EDAC}">
                        <c15:formulaRef>
                          <c15:sqref>'Q6'!$A$58:$A$68</c15:sqref>
                        </c15:formulaRef>
                      </c:ext>
                    </c:extLst>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extLst>
                      <c:ext uri="{02D57815-91ED-43cb-92C2-25804820EDAC}">
                        <c15:formulaRef>
                          <c15:sqref>'Q6'!$B$58:$B$68</c15:sqref>
                        </c15:formulaRef>
                      </c:ext>
                    </c:extLst>
                    <c:numCache>
                      <c:formatCode>General</c:formatCode>
                      <c:ptCount val="11"/>
                      <c:pt idx="0">
                        <c:v>1</c:v>
                      </c:pt>
                      <c:pt idx="1">
                        <c:v>1</c:v>
                      </c:pt>
                      <c:pt idx="2">
                        <c:v>4</c:v>
                      </c:pt>
                      <c:pt idx="3">
                        <c:v>2</c:v>
                      </c:pt>
                      <c:pt idx="4">
                        <c:v>9</c:v>
                      </c:pt>
                      <c:pt idx="5">
                        <c:v>4</c:v>
                      </c:pt>
                      <c:pt idx="6">
                        <c:v>7</c:v>
                      </c:pt>
                      <c:pt idx="7">
                        <c:v>16</c:v>
                      </c:pt>
                      <c:pt idx="8">
                        <c:v>9</c:v>
                      </c:pt>
                      <c:pt idx="9">
                        <c:v>18</c:v>
                      </c:pt>
                      <c:pt idx="10">
                        <c:v>9</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'Q6'!$C$57</c15:sqref>
                        </c15:formulaRef>
                      </c:ext>
                    </c:extLst>
                    <c:strCache>
                      <c:ptCount val="1"/>
                      <c:pt idx="0">
                        <c:v>We're about the SAME</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'Q6'!$A$58:$A$68</c15:sqref>
                        </c15:formulaRef>
                      </c:ext>
                    </c:extLst>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extLst xmlns:c15="http://schemas.microsoft.com/office/drawing/2012/chart">
                      <c:ext xmlns:c15="http://schemas.microsoft.com/office/drawing/2012/chart" uri="{02D57815-91ED-43cb-92C2-25804820EDAC}">
                        <c15:formulaRef>
                          <c15:sqref>'Q6'!$C$58:$C$68</c15:sqref>
                        </c15:formulaRef>
                      </c:ext>
                    </c:extLst>
                    <c:numCache>
                      <c:formatCode>General</c:formatCode>
                      <c:ptCount val="11"/>
                      <c:pt idx="0">
                        <c:v>35</c:v>
                      </c:pt>
                      <c:pt idx="1">
                        <c:v>24</c:v>
                      </c:pt>
                      <c:pt idx="2">
                        <c:v>55</c:v>
                      </c:pt>
                      <c:pt idx="3">
                        <c:v>24</c:v>
                      </c:pt>
                      <c:pt idx="4">
                        <c:v>83</c:v>
                      </c:pt>
                      <c:pt idx="5">
                        <c:v>28</c:v>
                      </c:pt>
                      <c:pt idx="6">
                        <c:v>30</c:v>
                      </c:pt>
                      <c:pt idx="7">
                        <c:v>102</c:v>
                      </c:pt>
                      <c:pt idx="8">
                        <c:v>60</c:v>
                      </c:pt>
                      <c:pt idx="9">
                        <c:v>62</c:v>
                      </c:pt>
                      <c:pt idx="10">
                        <c:v>16</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'Q6'!$D$57</c15:sqref>
                        </c15:formulaRef>
                      </c:ext>
                    </c:extLst>
                    <c:strCache>
                      <c:ptCount val="1"/>
                      <c:pt idx="0">
                        <c:v>My workforce is LESS diverse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'Q6'!$A$58:$A$68</c15:sqref>
                        </c15:formulaRef>
                      </c:ext>
                    </c:extLst>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extLst xmlns:c15="http://schemas.microsoft.com/office/drawing/2012/chart">
                      <c:ext xmlns:c15="http://schemas.microsoft.com/office/drawing/2012/chart" uri="{02D57815-91ED-43cb-92C2-25804820EDAC}">
                        <c15:formulaRef>
                          <c15:sqref>'Q6'!$D$58:$D$68</c15:sqref>
                        </c15:formulaRef>
                      </c:ext>
                    </c:extLst>
                    <c:numCache>
                      <c:formatCode>General</c:formatCode>
                      <c:ptCount val="11"/>
                      <c:pt idx="0">
                        <c:v>8</c:v>
                      </c:pt>
                      <c:pt idx="1">
                        <c:v>5</c:v>
                      </c:pt>
                      <c:pt idx="2">
                        <c:v>4</c:v>
                      </c:pt>
                      <c:pt idx="3">
                        <c:v>1</c:v>
                      </c:pt>
                      <c:pt idx="4">
                        <c:v>4</c:v>
                      </c:pt>
                      <c:pt idx="5">
                        <c:v>5</c:v>
                      </c:pt>
                      <c:pt idx="6">
                        <c:v>3</c:v>
                      </c:pt>
                      <c:pt idx="7">
                        <c:v>11</c:v>
                      </c:pt>
                      <c:pt idx="8">
                        <c:v>9</c:v>
                      </c:pt>
                      <c:pt idx="9">
                        <c:v>3</c:v>
                      </c:pt>
                      <c:pt idx="10">
                        <c:v>3</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'Q6'!$E$57</c15:sqref>
                        </c15:formulaRef>
                      </c:ext>
                    </c:extLst>
                    <c:strCache>
                      <c:ptCount val="1"/>
                      <c:pt idx="0">
                        <c:v>Unsure/ don't know</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'Q6'!$A$58:$A$68</c15:sqref>
                        </c15:formulaRef>
                      </c:ext>
                    </c:extLst>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extLst xmlns:c15="http://schemas.microsoft.com/office/drawing/2012/chart">
                      <c:ext xmlns:c15="http://schemas.microsoft.com/office/drawing/2012/chart" uri="{02D57815-91ED-43cb-92C2-25804820EDAC}">
                        <c15:formulaRef>
                          <c15:sqref>'Q6'!$E$58:$E$68</c15:sqref>
                        </c15:formulaRef>
                      </c:ext>
                    </c:extLst>
                    <c:numCache>
                      <c:formatCode>General</c:formatCode>
                      <c:ptCount val="11"/>
                      <c:pt idx="0">
                        <c:v>41</c:v>
                      </c:pt>
                      <c:pt idx="1">
                        <c:v>14</c:v>
                      </c:pt>
                      <c:pt idx="2">
                        <c:v>43</c:v>
                      </c:pt>
                      <c:pt idx="3">
                        <c:v>9</c:v>
                      </c:pt>
                      <c:pt idx="4">
                        <c:v>55</c:v>
                      </c:pt>
                      <c:pt idx="5">
                        <c:v>16</c:v>
                      </c:pt>
                      <c:pt idx="6">
                        <c:v>44</c:v>
                      </c:pt>
                      <c:pt idx="7">
                        <c:v>49</c:v>
                      </c:pt>
                      <c:pt idx="8">
                        <c:v>17</c:v>
                      </c:pt>
                      <c:pt idx="9">
                        <c:v>31</c:v>
                      </c:pt>
                      <c:pt idx="10">
                        <c:v>19</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'Q6'!$F$57</c15:sqref>
                        </c15:formulaRef>
                      </c:ext>
                    </c:extLst>
                    <c:strCache>
                      <c:ptCount val="1"/>
                      <c:pt idx="0">
                        <c:v>&lt;NA&gt;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'Q6'!$A$58:$A$68</c15:sqref>
                        </c15:formulaRef>
                      </c:ext>
                    </c:extLst>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extLst xmlns:c15="http://schemas.microsoft.com/office/drawing/2012/chart">
                      <c:ext xmlns:c15="http://schemas.microsoft.com/office/drawing/2012/chart" uri="{02D57815-91ED-43cb-92C2-25804820EDAC}">
                        <c15:formulaRef>
                          <c15:sqref>'Q6'!$F$58:$F$68</c15:sqref>
                        </c15:formulaRef>
                      </c:ext>
                    </c:extLst>
                    <c:numCache>
                      <c:formatCode>General</c:formatCode>
                      <c:ptCount val="11"/>
                      <c:pt idx="0">
                        <c:v>4</c:v>
                      </c:pt>
                      <c:pt idx="1">
                        <c:v>1</c:v>
                      </c:pt>
                      <c:pt idx="2">
                        <c:v>5</c:v>
                      </c:pt>
                      <c:pt idx="3">
                        <c:v>2</c:v>
                      </c:pt>
                      <c:pt idx="4">
                        <c:v>3</c:v>
                      </c:pt>
                      <c:pt idx="5">
                        <c:v>3</c:v>
                      </c:pt>
                      <c:pt idx="6">
                        <c:v>2</c:v>
                      </c:pt>
                      <c:pt idx="7">
                        <c:v>3</c:v>
                      </c:pt>
                      <c:pt idx="8">
                        <c:v>3</c:v>
                      </c:pt>
                      <c:pt idx="9">
                        <c:v>3</c:v>
                      </c:pt>
                      <c:pt idx="10">
                        <c:v>2</c:v>
                      </c:pt>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'Q6'!$G$57</c15:sqref>
                        </c15:formulaRef>
                      </c:ext>
                    </c:extLst>
                    <c:strCache>
                      <c:ptCount val="1"/>
                      <c:pt idx="0">
                        <c:v>N responded</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'Q6'!$A$58:$A$68</c15:sqref>
                        </c15:formulaRef>
                      </c:ext>
                    </c:extLst>
                    <c:strCache>
                      <c:ptCount val="11"/>
                      <c:pt idx="0">
                        <c:v>Government</c:v>
                      </c:pt>
                      <c:pt idx="1">
                        <c:v>Construction</c:v>
                      </c:pt>
                      <c:pt idx="2">
                        <c:v>Professional and Business Services</c:v>
                      </c:pt>
                      <c:pt idx="3">
                        <c:v>Natural Resources and Mining</c:v>
                      </c:pt>
                      <c:pt idx="4">
                        <c:v>Trade, Transportation, and Utilities</c:v>
                      </c:pt>
                      <c:pt idx="5">
                        <c:v>Financial Activities</c:v>
                      </c:pt>
                      <c:pt idx="6">
                        <c:v>Manufacturing</c:v>
                      </c:pt>
                      <c:pt idx="7">
                        <c:v>Health Services</c:v>
                      </c:pt>
                      <c:pt idx="8">
                        <c:v>Education Services</c:v>
                      </c:pt>
                      <c:pt idx="9">
                        <c:v>Leisure and Hospitality</c:v>
                      </c:pt>
                      <c:pt idx="10">
                        <c:v>Other Services</c:v>
                      </c:pt>
                    </c:strCache>
                  </c:strRef>
                </c:cat>
                <c:val>
                  <c:numRef>
                    <c:extLst xmlns:c15="http://schemas.microsoft.com/office/drawing/2012/chart">
                      <c:ext xmlns:c15="http://schemas.microsoft.com/office/drawing/2012/chart" uri="{02D57815-91ED-43cb-92C2-25804820EDAC}">
                        <c15:formulaRef>
                          <c15:sqref>'Q6'!$G$58:$G$68</c15:sqref>
                        </c15:formulaRef>
                      </c:ext>
                    </c:extLst>
                    <c:numCache>
                      <c:formatCode>General</c:formatCode>
                      <c:ptCount val="11"/>
                      <c:pt idx="0">
                        <c:v>85</c:v>
                      </c:pt>
                      <c:pt idx="1">
                        <c:v>44</c:v>
                      </c:pt>
                      <c:pt idx="2">
                        <c:v>106</c:v>
                      </c:pt>
                      <c:pt idx="3">
                        <c:v>36</c:v>
                      </c:pt>
                      <c:pt idx="4">
                        <c:v>151</c:v>
                      </c:pt>
                      <c:pt idx="5">
                        <c:v>53</c:v>
                      </c:pt>
                      <c:pt idx="6">
                        <c:v>84</c:v>
                      </c:pt>
                      <c:pt idx="7">
                        <c:v>178</c:v>
                      </c:pt>
                      <c:pt idx="8">
                        <c:v>95</c:v>
                      </c:pt>
                      <c:pt idx="9">
                        <c:v>114</c:v>
                      </c:pt>
                      <c:pt idx="10">
                        <c:v>47</c:v>
                      </c:pt>
                    </c:numCache>
                  </c:numRef>
                </c:val>
              </c15:ser>
            </c15:filteredBarSeries>
          </c:ext>
        </c:extLst>
      </c:barChart>
      <c:catAx>
        <c:axId val="136800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01064"/>
        <c:crosses val="autoZero"/>
        <c:auto val="1"/>
        <c:lblAlgn val="ctr"/>
        <c:lblOffset val="100"/>
        <c:noMultiLvlLbl val="0"/>
      </c:catAx>
      <c:valAx>
        <c:axId val="13680106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00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15. Percent agreeing with the following reasons to increase the racial diversity of their workforce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'Q11'!$D$6</c:f>
              <c:strCache>
                <c:ptCount val="1"/>
                <c:pt idx="0">
                  <c:v>% 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'Q11'!$A$7:$A$14</c:f>
              <c:strCache>
                <c:ptCount val="8"/>
                <c:pt idx="0">
                  <c:v>Other - Write In</c:v>
                </c:pt>
                <c:pt idx="1">
                  <c:v>Unsure/ don't know</c:v>
                </c:pt>
                <c:pt idx="2">
                  <c:v>Not applicable</c:v>
                </c:pt>
                <c:pt idx="3">
                  <c:v>To increase employee productivity</c:v>
                </c:pt>
                <c:pt idx="4">
                  <c:v>To increase customer appeal</c:v>
                </c:pt>
                <c:pt idx="5">
                  <c:v>To improve racial equity</c:v>
                </c:pt>
                <c:pt idx="6">
                  <c:v>To improve work environment or culture</c:v>
                </c:pt>
                <c:pt idx="7">
                  <c:v>To attract the best applicants</c:v>
                </c:pt>
              </c:strCache>
            </c:strRef>
          </c:cat>
          <c:val>
            <c:numRef>
              <c:f>'Q11'!$D$7:$D$14</c:f>
              <c:numCache>
                <c:formatCode>0%</c:formatCode>
                <c:ptCount val="8"/>
                <c:pt idx="0">
                  <c:v>9.9800399201596807E-2</c:v>
                </c:pt>
                <c:pt idx="1">
                  <c:v>0.10379241516966067</c:v>
                </c:pt>
                <c:pt idx="2">
                  <c:v>0.10978043912175649</c:v>
                </c:pt>
                <c:pt idx="3">
                  <c:v>0.21057884231536927</c:v>
                </c:pt>
                <c:pt idx="4">
                  <c:v>0.2744510978043912</c:v>
                </c:pt>
                <c:pt idx="5">
                  <c:v>0.40618762475049902</c:v>
                </c:pt>
                <c:pt idx="6">
                  <c:v>0.43512974051896208</c:v>
                </c:pt>
                <c:pt idx="7">
                  <c:v>0.65568862275449102</c:v>
                </c:pt>
              </c:numCache>
            </c:numRef>
          </c:val>
        </c:ser>
        <c:dLbls>
          <c:showLegendKey val="0"/>
          <c:showVal val="0"/>
          <c:showCatName val="0"/>
          <c:showSerName val="0"/>
          <c:showPercent val="0"/>
          <c:showBubbleSize val="0"/>
        </c:dLbls>
        <c:gapWidth val="182"/>
        <c:axId val="136801848"/>
        <c:axId val="136802240"/>
      </c:barChart>
      <c:catAx>
        <c:axId val="136801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02240"/>
        <c:crosses val="autoZero"/>
        <c:auto val="1"/>
        <c:lblAlgn val="ctr"/>
        <c:lblOffset val="100"/>
        <c:noMultiLvlLbl val="0"/>
      </c:catAx>
      <c:valAx>
        <c:axId val="136802240"/>
        <c:scaling>
          <c:orientation val="minMax"/>
        </c:scaling>
        <c:delete val="1"/>
        <c:axPos val="b"/>
        <c:numFmt formatCode="0%" sourceLinked="1"/>
        <c:majorTickMark val="none"/>
        <c:minorTickMark val="none"/>
        <c:tickLblPos val="nextTo"/>
        <c:crossAx val="136801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Figure 19. Percent reporting that they are actively trying to increase racial diversity in their workforce, by skill level and firm size</a:t>
            </a:r>
            <a:endParaRPr lang="en-US" sz="105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'Q9'!$R$56</c:f>
              <c:strCache>
                <c:ptCount val="1"/>
                <c:pt idx="0">
                  <c:v>Management-Level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'Q9'!$Q$57:$Q$59</c:f>
              <c:strCache>
                <c:ptCount val="3"/>
                <c:pt idx="0">
                  <c:v>Small</c:v>
                </c:pt>
                <c:pt idx="1">
                  <c:v>Medium</c:v>
                </c:pt>
                <c:pt idx="2">
                  <c:v>Large</c:v>
                </c:pt>
              </c:strCache>
            </c:strRef>
          </c:cat>
          <c:val>
            <c:numRef>
              <c:f>'Q9'!$R$57:$R$59</c:f>
              <c:numCache>
                <c:formatCode>0%</c:formatCode>
                <c:ptCount val="3"/>
                <c:pt idx="0">
                  <c:v>0.2339622641509434</c:v>
                </c:pt>
                <c:pt idx="1">
                  <c:v>0.55180180180180183</c:v>
                </c:pt>
                <c:pt idx="2">
                  <c:v>0.78021978021978022</c:v>
                </c:pt>
              </c:numCache>
            </c:numRef>
          </c:val>
        </c:ser>
        <c:ser>
          <c:idx val="1"/>
          <c:order val="1"/>
          <c:tx>
            <c:strRef>
              <c:f>'Q9'!$S$56</c:f>
              <c:strCache>
                <c:ptCount val="1"/>
                <c:pt idx="0">
                  <c:v>Entry-Level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'Q9'!$Q$57:$Q$59</c:f>
              <c:strCache>
                <c:ptCount val="3"/>
                <c:pt idx="0">
                  <c:v>Small</c:v>
                </c:pt>
                <c:pt idx="1">
                  <c:v>Medium</c:v>
                </c:pt>
                <c:pt idx="2">
                  <c:v>Large</c:v>
                </c:pt>
              </c:strCache>
            </c:strRef>
          </c:cat>
          <c:val>
            <c:numRef>
              <c:f>'Q9'!$S$57:$S$59</c:f>
              <c:numCache>
                <c:formatCode>0%</c:formatCode>
                <c:ptCount val="3"/>
                <c:pt idx="0">
                  <c:v>0.29477611940298509</c:v>
                </c:pt>
                <c:pt idx="1">
                  <c:v>0.60526315789473684</c:v>
                </c:pt>
                <c:pt idx="2">
                  <c:v>0.76978417266187049</c:v>
                </c:pt>
              </c:numCache>
            </c:numRef>
          </c:val>
        </c:ser>
        <c:dLbls>
          <c:showLegendKey val="0"/>
          <c:showVal val="0"/>
          <c:showCatName val="0"/>
          <c:showSerName val="0"/>
          <c:showPercent val="0"/>
          <c:showBubbleSize val="0"/>
        </c:dLbls>
        <c:gapWidth val="182"/>
        <c:axId val="136803024"/>
        <c:axId val="136803416"/>
      </c:barChart>
      <c:catAx>
        <c:axId val="136803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03416"/>
        <c:crosses val="autoZero"/>
        <c:auto val="1"/>
        <c:lblAlgn val="ctr"/>
        <c:lblOffset val="100"/>
        <c:noMultiLvlLbl val="0"/>
      </c:catAx>
      <c:valAx>
        <c:axId val="136803416"/>
        <c:scaling>
          <c:orientation val="minMax"/>
          <c:max val="1"/>
        </c:scaling>
        <c:delete val="1"/>
        <c:axPos val="b"/>
        <c:numFmt formatCode="0%" sourceLinked="1"/>
        <c:majorTickMark val="none"/>
        <c:minorTickMark val="none"/>
        <c:tickLblPos val="nextTo"/>
        <c:crossAx val="136803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rPr>
              <a:t>Figure 20. Percent agreeing with the following reasons to increase the racial diversity of their workforce</a:t>
            </a:r>
            <a:r>
              <a:rPr lang="en-US" sz="1200" b="0" i="0" u="none" strike="noStrike" baseline="0"/>
              <a:t>, by firm size</a:t>
            </a:r>
            <a:endParaRPr lang="en-US" sz="1200" b="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tx>
            <c:strRef>
              <c:f>'Q11'!$C$37</c:f>
              <c:strCache>
                <c:ptCount val="1"/>
                <c:pt idx="0">
                  <c:v>% Small</c:v>
                </c:pt>
              </c:strCache>
            </c:strRef>
          </c:tx>
          <c:spPr>
            <a:solidFill>
              <a:schemeClr val="accent3"/>
            </a:solidFill>
            <a:ln>
              <a:noFill/>
            </a:ln>
            <a:effectLst/>
          </c:spPr>
          <c:invertIfNegative val="0"/>
          <c:cat>
            <c:strRef>
              <c:f>'Q11'!$A$38:$A$45</c:f>
              <c:strCache>
                <c:ptCount val="8"/>
                <c:pt idx="0">
                  <c:v>Unsure/ don't know</c:v>
                </c:pt>
                <c:pt idx="1">
                  <c:v>Not applicable</c:v>
                </c:pt>
                <c:pt idx="2">
                  <c:v>Other - Write In</c:v>
                </c:pt>
                <c:pt idx="3">
                  <c:v>To increase employee productivity</c:v>
                </c:pt>
                <c:pt idx="4">
                  <c:v>To increase customer appeal</c:v>
                </c:pt>
                <c:pt idx="5">
                  <c:v>To improve racial equity</c:v>
                </c:pt>
                <c:pt idx="6">
                  <c:v>To improve work environment or culture</c:v>
                </c:pt>
                <c:pt idx="7">
                  <c:v>To attract the best applicants</c:v>
                </c:pt>
              </c:strCache>
            </c:strRef>
          </c:cat>
          <c:val>
            <c:numRef>
              <c:f>'Q11'!$C$38:$C$45</c:f>
              <c:numCache>
                <c:formatCode>0%</c:formatCode>
                <c:ptCount val="8"/>
                <c:pt idx="0">
                  <c:v>0.20224719101123595</c:v>
                </c:pt>
                <c:pt idx="1">
                  <c:v>0.1797752808988764</c:v>
                </c:pt>
                <c:pt idx="2">
                  <c:v>5.2434456928838954E-2</c:v>
                </c:pt>
                <c:pt idx="3">
                  <c:v>0.14981273408239701</c:v>
                </c:pt>
                <c:pt idx="4">
                  <c:v>0.14606741573033707</c:v>
                </c:pt>
                <c:pt idx="5">
                  <c:v>0.22097378277153559</c:v>
                </c:pt>
                <c:pt idx="6">
                  <c:v>0.22846441947565543</c:v>
                </c:pt>
                <c:pt idx="7">
                  <c:v>0.53558052434456926</c:v>
                </c:pt>
              </c:numCache>
            </c:numRef>
          </c:val>
        </c:ser>
        <c:ser>
          <c:idx val="3"/>
          <c:order val="3"/>
          <c:tx>
            <c:strRef>
              <c:f>'Q11'!$E$37</c:f>
              <c:strCache>
                <c:ptCount val="1"/>
                <c:pt idx="0">
                  <c:v>% Medium</c:v>
                </c:pt>
              </c:strCache>
            </c:strRef>
          </c:tx>
          <c:spPr>
            <a:solidFill>
              <a:schemeClr val="accent2"/>
            </a:solidFill>
            <a:ln>
              <a:noFill/>
            </a:ln>
            <a:effectLst/>
          </c:spPr>
          <c:invertIfNegative val="0"/>
          <c:cat>
            <c:strRef>
              <c:f>'Q11'!$A$38:$A$45</c:f>
              <c:strCache>
                <c:ptCount val="8"/>
                <c:pt idx="0">
                  <c:v>Unsure/ don't know</c:v>
                </c:pt>
                <c:pt idx="1">
                  <c:v>Not applicable</c:v>
                </c:pt>
                <c:pt idx="2">
                  <c:v>Other - Write In</c:v>
                </c:pt>
                <c:pt idx="3">
                  <c:v>To increase employee productivity</c:v>
                </c:pt>
                <c:pt idx="4">
                  <c:v>To increase customer appeal</c:v>
                </c:pt>
                <c:pt idx="5">
                  <c:v>To improve racial equity</c:v>
                </c:pt>
                <c:pt idx="6">
                  <c:v>To improve work environment or culture</c:v>
                </c:pt>
                <c:pt idx="7">
                  <c:v>To attract the best applicants</c:v>
                </c:pt>
              </c:strCache>
            </c:strRef>
          </c:cat>
          <c:val>
            <c:numRef>
              <c:f>'Q11'!$E$38:$E$45</c:f>
              <c:numCache>
                <c:formatCode>0%</c:formatCode>
                <c:ptCount val="8"/>
                <c:pt idx="0">
                  <c:v>9.1703056768558958E-2</c:v>
                </c:pt>
                <c:pt idx="1">
                  <c:v>0.10043668122270742</c:v>
                </c:pt>
                <c:pt idx="2">
                  <c:v>0.10043668122270742</c:v>
                </c:pt>
                <c:pt idx="3">
                  <c:v>0.1943231441048035</c:v>
                </c:pt>
                <c:pt idx="4">
                  <c:v>0.26419213973799127</c:v>
                </c:pt>
                <c:pt idx="5">
                  <c:v>0.3930131004366812</c:v>
                </c:pt>
                <c:pt idx="6">
                  <c:v>0.42794759825327511</c:v>
                </c:pt>
                <c:pt idx="7">
                  <c:v>0.65283842794759828</c:v>
                </c:pt>
              </c:numCache>
            </c:numRef>
          </c:val>
        </c:ser>
        <c:ser>
          <c:idx val="5"/>
          <c:order val="5"/>
          <c:tx>
            <c:strRef>
              <c:f>'Q11'!$G$37</c:f>
              <c:strCache>
                <c:ptCount val="1"/>
                <c:pt idx="0">
                  <c:v>% Large</c:v>
                </c:pt>
              </c:strCache>
            </c:strRef>
          </c:tx>
          <c:spPr>
            <a:solidFill>
              <a:schemeClr val="accent1"/>
            </a:solidFill>
            <a:ln>
              <a:noFill/>
            </a:ln>
            <a:effectLst/>
          </c:spPr>
          <c:invertIfNegative val="0"/>
          <c:cat>
            <c:strRef>
              <c:f>'Q11'!$A$38:$A$45</c:f>
              <c:strCache>
                <c:ptCount val="8"/>
                <c:pt idx="0">
                  <c:v>Unsure/ don't know</c:v>
                </c:pt>
                <c:pt idx="1">
                  <c:v>Not applicable</c:v>
                </c:pt>
                <c:pt idx="2">
                  <c:v>Other - Write In</c:v>
                </c:pt>
                <c:pt idx="3">
                  <c:v>To increase employee productivity</c:v>
                </c:pt>
                <c:pt idx="4">
                  <c:v>To increase customer appeal</c:v>
                </c:pt>
                <c:pt idx="5">
                  <c:v>To improve racial equity</c:v>
                </c:pt>
                <c:pt idx="6">
                  <c:v>To improve work environment or culture</c:v>
                </c:pt>
                <c:pt idx="7">
                  <c:v>To attract the best applicants</c:v>
                </c:pt>
              </c:strCache>
            </c:strRef>
          </c:cat>
          <c:val>
            <c:numRef>
              <c:f>'Q11'!$G$38:$G$45</c:f>
              <c:numCache>
                <c:formatCode>0%</c:formatCode>
                <c:ptCount val="8"/>
                <c:pt idx="0">
                  <c:v>2.8880866425992781E-2</c:v>
                </c:pt>
                <c:pt idx="1">
                  <c:v>5.7761732851985562E-2</c:v>
                </c:pt>
                <c:pt idx="2">
                  <c:v>0.1444043321299639</c:v>
                </c:pt>
                <c:pt idx="3">
                  <c:v>0.29602888086642598</c:v>
                </c:pt>
                <c:pt idx="4">
                  <c:v>0.41516245487364623</c:v>
                </c:pt>
                <c:pt idx="5">
                  <c:v>0.60649819494584833</c:v>
                </c:pt>
                <c:pt idx="6">
                  <c:v>0.64620938628158842</c:v>
                </c:pt>
                <c:pt idx="7">
                  <c:v>0.776173285198556</c:v>
                </c:pt>
              </c:numCache>
            </c:numRef>
          </c:val>
        </c:ser>
        <c:dLbls>
          <c:showLegendKey val="0"/>
          <c:showVal val="0"/>
          <c:showCatName val="0"/>
          <c:showSerName val="0"/>
          <c:showPercent val="0"/>
          <c:showBubbleSize val="0"/>
        </c:dLbls>
        <c:gapWidth val="182"/>
        <c:axId val="137217120"/>
        <c:axId val="137217512"/>
        <c:extLst>
          <c:ext xmlns:c15="http://schemas.microsoft.com/office/drawing/2012/chart" uri="{02D57815-91ED-43cb-92C2-25804820EDAC}">
            <c15:filteredBarSeries>
              <c15:ser>
                <c:idx val="0"/>
                <c:order val="0"/>
                <c:tx>
                  <c:strRef>
                    <c:extLst>
                      <c:ext uri="{02D57815-91ED-43cb-92C2-25804820EDAC}">
                        <c15:formulaRef>
                          <c15:sqref>'Q11'!$B$37</c15:sqref>
                        </c15:formulaRef>
                      </c:ext>
                    </c:extLst>
                    <c:strCache>
                      <c:ptCount val="1"/>
                      <c:pt idx="0">
                        <c:v>Small</c:v>
                      </c:pt>
                    </c:strCache>
                  </c:strRef>
                </c:tx>
                <c:spPr>
                  <a:solidFill>
                    <a:schemeClr val="accent1"/>
                  </a:solidFill>
                  <a:ln>
                    <a:noFill/>
                  </a:ln>
                  <a:effectLst/>
                </c:spPr>
                <c:invertIfNegative val="0"/>
                <c:cat>
                  <c:strRef>
                    <c:extLst>
                      <c:ext uri="{02D57815-91ED-43cb-92C2-25804820EDAC}">
                        <c15:formulaRef>
                          <c15:sqref>'Q11'!$A$38:$A$45</c15:sqref>
                        </c15:formulaRef>
                      </c:ext>
                    </c:extLst>
                    <c:strCache>
                      <c:ptCount val="8"/>
                      <c:pt idx="0">
                        <c:v>Unsure/ don't know</c:v>
                      </c:pt>
                      <c:pt idx="1">
                        <c:v>Not applicable</c:v>
                      </c:pt>
                      <c:pt idx="2">
                        <c:v>Other - Write In</c:v>
                      </c:pt>
                      <c:pt idx="3">
                        <c:v>To increase employee productivity</c:v>
                      </c:pt>
                      <c:pt idx="4">
                        <c:v>To increase customer appeal</c:v>
                      </c:pt>
                      <c:pt idx="5">
                        <c:v>To improve racial equity</c:v>
                      </c:pt>
                      <c:pt idx="6">
                        <c:v>To improve work environment or culture</c:v>
                      </c:pt>
                      <c:pt idx="7">
                        <c:v>To attract the best applicants</c:v>
                      </c:pt>
                    </c:strCache>
                  </c:strRef>
                </c:cat>
                <c:val>
                  <c:numRef>
                    <c:extLst>
                      <c:ext uri="{02D57815-91ED-43cb-92C2-25804820EDAC}">
                        <c15:formulaRef>
                          <c15:sqref>'Q11'!$B$38:$B$45</c15:sqref>
                        </c15:formulaRef>
                      </c:ext>
                    </c:extLst>
                    <c:numCache>
                      <c:formatCode>General</c:formatCode>
                      <c:ptCount val="8"/>
                      <c:pt idx="0">
                        <c:v>54</c:v>
                      </c:pt>
                      <c:pt idx="1">
                        <c:v>48</c:v>
                      </c:pt>
                      <c:pt idx="2">
                        <c:v>14</c:v>
                      </c:pt>
                      <c:pt idx="3">
                        <c:v>40</c:v>
                      </c:pt>
                      <c:pt idx="4">
                        <c:v>39</c:v>
                      </c:pt>
                      <c:pt idx="5">
                        <c:v>59</c:v>
                      </c:pt>
                      <c:pt idx="6">
                        <c:v>61</c:v>
                      </c:pt>
                      <c:pt idx="7">
                        <c:v>143</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'Q11'!$D$37</c15:sqref>
                        </c15:formulaRef>
                      </c:ext>
                    </c:extLst>
                    <c:strCache>
                      <c:ptCount val="1"/>
                      <c:pt idx="0">
                        <c:v>Medium</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'Q11'!$A$38:$A$45</c15:sqref>
                        </c15:formulaRef>
                      </c:ext>
                    </c:extLst>
                    <c:strCache>
                      <c:ptCount val="8"/>
                      <c:pt idx="0">
                        <c:v>Unsure/ don't know</c:v>
                      </c:pt>
                      <c:pt idx="1">
                        <c:v>Not applicable</c:v>
                      </c:pt>
                      <c:pt idx="2">
                        <c:v>Other - Write In</c:v>
                      </c:pt>
                      <c:pt idx="3">
                        <c:v>To increase employee productivity</c:v>
                      </c:pt>
                      <c:pt idx="4">
                        <c:v>To increase customer appeal</c:v>
                      </c:pt>
                      <c:pt idx="5">
                        <c:v>To improve racial equity</c:v>
                      </c:pt>
                      <c:pt idx="6">
                        <c:v>To improve work environment or culture</c:v>
                      </c:pt>
                      <c:pt idx="7">
                        <c:v>To attract the best applicants</c:v>
                      </c:pt>
                    </c:strCache>
                  </c:strRef>
                </c:cat>
                <c:val>
                  <c:numRef>
                    <c:extLst xmlns:c15="http://schemas.microsoft.com/office/drawing/2012/chart">
                      <c:ext xmlns:c15="http://schemas.microsoft.com/office/drawing/2012/chart" uri="{02D57815-91ED-43cb-92C2-25804820EDAC}">
                        <c15:formulaRef>
                          <c15:sqref>'Q11'!$D$38:$D$45</c15:sqref>
                        </c15:formulaRef>
                      </c:ext>
                    </c:extLst>
                    <c:numCache>
                      <c:formatCode>General</c:formatCode>
                      <c:ptCount val="8"/>
                      <c:pt idx="0">
                        <c:v>42</c:v>
                      </c:pt>
                      <c:pt idx="1">
                        <c:v>46</c:v>
                      </c:pt>
                      <c:pt idx="2">
                        <c:v>46</c:v>
                      </c:pt>
                      <c:pt idx="3">
                        <c:v>89</c:v>
                      </c:pt>
                      <c:pt idx="4">
                        <c:v>121</c:v>
                      </c:pt>
                      <c:pt idx="5">
                        <c:v>180</c:v>
                      </c:pt>
                      <c:pt idx="6">
                        <c:v>196</c:v>
                      </c:pt>
                      <c:pt idx="7">
                        <c:v>299</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'Q11'!$F$37</c15:sqref>
                        </c15:formulaRef>
                      </c:ext>
                    </c:extLst>
                    <c:strCache>
                      <c:ptCount val="1"/>
                      <c:pt idx="0">
                        <c:v>Large</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'Q11'!$A$38:$A$45</c15:sqref>
                        </c15:formulaRef>
                      </c:ext>
                    </c:extLst>
                    <c:strCache>
                      <c:ptCount val="8"/>
                      <c:pt idx="0">
                        <c:v>Unsure/ don't know</c:v>
                      </c:pt>
                      <c:pt idx="1">
                        <c:v>Not applicable</c:v>
                      </c:pt>
                      <c:pt idx="2">
                        <c:v>Other - Write In</c:v>
                      </c:pt>
                      <c:pt idx="3">
                        <c:v>To increase employee productivity</c:v>
                      </c:pt>
                      <c:pt idx="4">
                        <c:v>To increase customer appeal</c:v>
                      </c:pt>
                      <c:pt idx="5">
                        <c:v>To improve racial equity</c:v>
                      </c:pt>
                      <c:pt idx="6">
                        <c:v>To improve work environment or culture</c:v>
                      </c:pt>
                      <c:pt idx="7">
                        <c:v>To attract the best applicants</c:v>
                      </c:pt>
                    </c:strCache>
                  </c:strRef>
                </c:cat>
                <c:val>
                  <c:numRef>
                    <c:extLst xmlns:c15="http://schemas.microsoft.com/office/drawing/2012/chart">
                      <c:ext xmlns:c15="http://schemas.microsoft.com/office/drawing/2012/chart" uri="{02D57815-91ED-43cb-92C2-25804820EDAC}">
                        <c15:formulaRef>
                          <c15:sqref>'Q11'!$F$38:$F$45</c15:sqref>
                        </c15:formulaRef>
                      </c:ext>
                    </c:extLst>
                    <c:numCache>
                      <c:formatCode>General</c:formatCode>
                      <c:ptCount val="8"/>
                      <c:pt idx="0">
                        <c:v>8</c:v>
                      </c:pt>
                      <c:pt idx="1">
                        <c:v>16</c:v>
                      </c:pt>
                      <c:pt idx="2">
                        <c:v>40</c:v>
                      </c:pt>
                      <c:pt idx="3">
                        <c:v>82</c:v>
                      </c:pt>
                      <c:pt idx="4">
                        <c:v>115</c:v>
                      </c:pt>
                      <c:pt idx="5">
                        <c:v>168</c:v>
                      </c:pt>
                      <c:pt idx="6">
                        <c:v>179</c:v>
                      </c:pt>
                      <c:pt idx="7">
                        <c:v>215</c:v>
                      </c:pt>
                    </c:numCache>
                  </c:numRef>
                </c:val>
              </c15:ser>
            </c15:filteredBarSeries>
          </c:ext>
        </c:extLst>
      </c:barChart>
      <c:catAx>
        <c:axId val="137217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7512"/>
        <c:crosses val="autoZero"/>
        <c:auto val="1"/>
        <c:lblAlgn val="ctr"/>
        <c:lblOffset val="100"/>
        <c:noMultiLvlLbl val="0"/>
      </c:catAx>
      <c:valAx>
        <c:axId val="13721751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7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22. Percent reporting that </a:t>
            </a:r>
            <a:r>
              <a:rPr lang="en-US" sz="1200" b="1"/>
              <a:t>they</a:t>
            </a:r>
            <a:r>
              <a:rPr lang="en-US" sz="1200"/>
              <a:t> are actively trying to increase racial diversity in their workforce, by skill level and industry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'Q9'!$R$41</c:f>
              <c:strCache>
                <c:ptCount val="1"/>
                <c:pt idx="0">
                  <c:v>Management-Level</c:v>
                </c:pt>
              </c:strCache>
            </c:strRef>
          </c:tx>
          <c:spPr>
            <a:solidFill>
              <a:schemeClr val="accent1"/>
            </a:solidFill>
            <a:ln>
              <a:noFill/>
            </a:ln>
            <a:effectLst/>
          </c:spPr>
          <c:invertIfNegative val="0"/>
          <c:cat>
            <c:strRef>
              <c:f>'Q9'!$Q$42:$Q$52</c:f>
              <c:strCache>
                <c:ptCount val="11"/>
                <c:pt idx="0">
                  <c:v>Manufacturing</c:v>
                </c:pt>
                <c:pt idx="1">
                  <c:v>Leisure and Hospitality</c:v>
                </c:pt>
                <c:pt idx="2">
                  <c:v>Natural Resources and Mining</c:v>
                </c:pt>
                <c:pt idx="3">
                  <c:v>Trade, Transportation, and Utilities</c:v>
                </c:pt>
                <c:pt idx="4">
                  <c:v>Financial Activities</c:v>
                </c:pt>
                <c:pt idx="5">
                  <c:v>Government</c:v>
                </c:pt>
                <c:pt idx="6">
                  <c:v>Other Services</c:v>
                </c:pt>
                <c:pt idx="7">
                  <c:v>Professional and Business Services</c:v>
                </c:pt>
                <c:pt idx="8">
                  <c:v>Education Services</c:v>
                </c:pt>
                <c:pt idx="9">
                  <c:v>Health Services</c:v>
                </c:pt>
                <c:pt idx="10">
                  <c:v>Construction</c:v>
                </c:pt>
              </c:strCache>
            </c:strRef>
          </c:cat>
          <c:val>
            <c:numRef>
              <c:f>'Q9'!$R$42:$R$52</c:f>
              <c:numCache>
                <c:formatCode>0%</c:formatCode>
                <c:ptCount val="11"/>
                <c:pt idx="0">
                  <c:v>0.48780487804878048</c:v>
                </c:pt>
                <c:pt idx="1">
                  <c:v>0.42727272727272725</c:v>
                </c:pt>
                <c:pt idx="2">
                  <c:v>0.44117647058823528</c:v>
                </c:pt>
                <c:pt idx="3">
                  <c:v>0.46853146853146854</c:v>
                </c:pt>
                <c:pt idx="4">
                  <c:v>0.43396226415094341</c:v>
                </c:pt>
                <c:pt idx="5">
                  <c:v>0.53658536585365857</c:v>
                </c:pt>
                <c:pt idx="6">
                  <c:v>0.54347826086956519</c:v>
                </c:pt>
                <c:pt idx="7">
                  <c:v>0.5714285714285714</c:v>
                </c:pt>
                <c:pt idx="8">
                  <c:v>0.6063829787234043</c:v>
                </c:pt>
                <c:pt idx="9">
                  <c:v>0.60588235294117643</c:v>
                </c:pt>
                <c:pt idx="10">
                  <c:v>0.625</c:v>
                </c:pt>
              </c:numCache>
            </c:numRef>
          </c:val>
        </c:ser>
        <c:ser>
          <c:idx val="1"/>
          <c:order val="1"/>
          <c:tx>
            <c:strRef>
              <c:f>'Q9'!$S$41</c:f>
              <c:strCache>
                <c:ptCount val="1"/>
                <c:pt idx="0">
                  <c:v>Entry-Level</c:v>
                </c:pt>
              </c:strCache>
            </c:strRef>
          </c:tx>
          <c:spPr>
            <a:solidFill>
              <a:schemeClr val="accent2"/>
            </a:solidFill>
            <a:ln>
              <a:noFill/>
            </a:ln>
            <a:effectLst/>
          </c:spPr>
          <c:invertIfNegative val="0"/>
          <c:cat>
            <c:strRef>
              <c:f>'Q9'!$Q$42:$Q$52</c:f>
              <c:strCache>
                <c:ptCount val="11"/>
                <c:pt idx="0">
                  <c:v>Manufacturing</c:v>
                </c:pt>
                <c:pt idx="1">
                  <c:v>Leisure and Hospitality</c:v>
                </c:pt>
                <c:pt idx="2">
                  <c:v>Natural Resources and Mining</c:v>
                </c:pt>
                <c:pt idx="3">
                  <c:v>Trade, Transportation, and Utilities</c:v>
                </c:pt>
                <c:pt idx="4">
                  <c:v>Financial Activities</c:v>
                </c:pt>
                <c:pt idx="5">
                  <c:v>Government</c:v>
                </c:pt>
                <c:pt idx="6">
                  <c:v>Other Services</c:v>
                </c:pt>
                <c:pt idx="7">
                  <c:v>Professional and Business Services</c:v>
                </c:pt>
                <c:pt idx="8">
                  <c:v>Education Services</c:v>
                </c:pt>
                <c:pt idx="9">
                  <c:v>Health Services</c:v>
                </c:pt>
                <c:pt idx="10">
                  <c:v>Construction</c:v>
                </c:pt>
              </c:strCache>
            </c:strRef>
          </c:cat>
          <c:val>
            <c:numRef>
              <c:f>'Q9'!$S$42:$S$52</c:f>
              <c:numCache>
                <c:formatCode>0%</c:formatCode>
                <c:ptCount val="11"/>
                <c:pt idx="0">
                  <c:v>0.4642857142857143</c:v>
                </c:pt>
                <c:pt idx="1">
                  <c:v>0.47368421052631576</c:v>
                </c:pt>
                <c:pt idx="2">
                  <c:v>0.48571428571428571</c:v>
                </c:pt>
                <c:pt idx="3">
                  <c:v>0.4863013698630137</c:v>
                </c:pt>
                <c:pt idx="4">
                  <c:v>0.50943396226415094</c:v>
                </c:pt>
                <c:pt idx="5">
                  <c:v>0.59036144578313254</c:v>
                </c:pt>
                <c:pt idx="6">
                  <c:v>0.61702127659574468</c:v>
                </c:pt>
                <c:pt idx="7">
                  <c:v>0.61904761904761907</c:v>
                </c:pt>
                <c:pt idx="8">
                  <c:v>0.63157894736842102</c:v>
                </c:pt>
                <c:pt idx="9">
                  <c:v>0.63218390804597702</c:v>
                </c:pt>
                <c:pt idx="10">
                  <c:v>0.7441860465116279</c:v>
                </c:pt>
              </c:numCache>
            </c:numRef>
          </c:val>
        </c:ser>
        <c:dLbls>
          <c:showLegendKey val="0"/>
          <c:showVal val="0"/>
          <c:showCatName val="0"/>
          <c:showSerName val="0"/>
          <c:showPercent val="0"/>
          <c:showBubbleSize val="0"/>
        </c:dLbls>
        <c:gapWidth val="182"/>
        <c:axId val="137211024"/>
        <c:axId val="137211416"/>
      </c:barChart>
      <c:catAx>
        <c:axId val="137211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1416"/>
        <c:crosses val="autoZero"/>
        <c:auto val="1"/>
        <c:lblAlgn val="ctr"/>
        <c:lblOffset val="100"/>
        <c:noMultiLvlLbl val="0"/>
      </c:catAx>
      <c:valAx>
        <c:axId val="13721141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1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21. Percent</a:t>
            </a:r>
            <a:r>
              <a:rPr lang="en-US" sz="1200" baseline="0"/>
              <a:t> reporting that employers </a:t>
            </a:r>
            <a:r>
              <a:rPr lang="en-US" sz="1200" b="1" baseline="0"/>
              <a:t>in their industry </a:t>
            </a:r>
            <a:r>
              <a:rPr lang="en-US" sz="1200" baseline="0"/>
              <a:t>are actively trying to increase racial diversity in their workforce, by skill level and industry</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'Q7'!$B$54</c:f>
              <c:strCache>
                <c:ptCount val="1"/>
                <c:pt idx="0">
                  <c:v>Management-Level</c:v>
                </c:pt>
              </c:strCache>
            </c:strRef>
          </c:tx>
          <c:spPr>
            <a:solidFill>
              <a:schemeClr val="accent1"/>
            </a:solidFill>
            <a:ln>
              <a:noFill/>
            </a:ln>
            <a:effectLst/>
          </c:spPr>
          <c:invertIfNegative val="0"/>
          <c:cat>
            <c:strRef>
              <c:f>'Q7'!$A$55:$A$65</c:f>
              <c:strCache>
                <c:ptCount val="11"/>
                <c:pt idx="0">
                  <c:v>Manufacturing</c:v>
                </c:pt>
                <c:pt idx="1">
                  <c:v>Natural Resources and Mining</c:v>
                </c:pt>
                <c:pt idx="2">
                  <c:v>Leisure and Hospitality</c:v>
                </c:pt>
                <c:pt idx="3">
                  <c:v>Trade, Transportation, and Utilities</c:v>
                </c:pt>
                <c:pt idx="4">
                  <c:v>Financial Activities</c:v>
                </c:pt>
                <c:pt idx="5">
                  <c:v>Professional and Business Services</c:v>
                </c:pt>
                <c:pt idx="6">
                  <c:v>Other Services</c:v>
                </c:pt>
                <c:pt idx="7">
                  <c:v>Health Services</c:v>
                </c:pt>
                <c:pt idx="8">
                  <c:v>Government</c:v>
                </c:pt>
                <c:pt idx="9">
                  <c:v>Construction</c:v>
                </c:pt>
                <c:pt idx="10">
                  <c:v>Education Services</c:v>
                </c:pt>
              </c:strCache>
            </c:strRef>
          </c:cat>
          <c:val>
            <c:numRef>
              <c:f>'Q7'!$B$55:$B$65</c:f>
              <c:numCache>
                <c:formatCode>0%</c:formatCode>
                <c:ptCount val="11"/>
                <c:pt idx="0">
                  <c:v>0.20481927710843373</c:v>
                </c:pt>
                <c:pt idx="1">
                  <c:v>0.17142857142857143</c:v>
                </c:pt>
                <c:pt idx="2">
                  <c:v>0.26126126126126126</c:v>
                </c:pt>
                <c:pt idx="3">
                  <c:v>0.2986111111111111</c:v>
                </c:pt>
                <c:pt idx="4">
                  <c:v>0.25925925925925924</c:v>
                </c:pt>
                <c:pt idx="5">
                  <c:v>0.31132075471698112</c:v>
                </c:pt>
                <c:pt idx="6">
                  <c:v>0.31914893617021278</c:v>
                </c:pt>
                <c:pt idx="7">
                  <c:v>0.36627906976744184</c:v>
                </c:pt>
                <c:pt idx="8">
                  <c:v>0.46835443037974683</c:v>
                </c:pt>
                <c:pt idx="9">
                  <c:v>0.42857142857142855</c:v>
                </c:pt>
                <c:pt idx="10">
                  <c:v>0.57777777777777772</c:v>
                </c:pt>
              </c:numCache>
            </c:numRef>
          </c:val>
        </c:ser>
        <c:ser>
          <c:idx val="1"/>
          <c:order val="1"/>
          <c:tx>
            <c:strRef>
              <c:f>'Q7'!$C$54</c:f>
              <c:strCache>
                <c:ptCount val="1"/>
                <c:pt idx="0">
                  <c:v>Entry-Level</c:v>
                </c:pt>
              </c:strCache>
            </c:strRef>
          </c:tx>
          <c:spPr>
            <a:solidFill>
              <a:schemeClr val="accent2"/>
            </a:solidFill>
            <a:ln>
              <a:noFill/>
            </a:ln>
            <a:effectLst/>
          </c:spPr>
          <c:invertIfNegative val="0"/>
          <c:cat>
            <c:strRef>
              <c:f>'Q7'!$A$55:$A$65</c:f>
              <c:strCache>
                <c:ptCount val="11"/>
                <c:pt idx="0">
                  <c:v>Manufacturing</c:v>
                </c:pt>
                <c:pt idx="1">
                  <c:v>Natural Resources and Mining</c:v>
                </c:pt>
                <c:pt idx="2">
                  <c:v>Leisure and Hospitality</c:v>
                </c:pt>
                <c:pt idx="3">
                  <c:v>Trade, Transportation, and Utilities</c:v>
                </c:pt>
                <c:pt idx="4">
                  <c:v>Financial Activities</c:v>
                </c:pt>
                <c:pt idx="5">
                  <c:v>Professional and Business Services</c:v>
                </c:pt>
                <c:pt idx="6">
                  <c:v>Other Services</c:v>
                </c:pt>
                <c:pt idx="7">
                  <c:v>Health Services</c:v>
                </c:pt>
                <c:pt idx="8">
                  <c:v>Government</c:v>
                </c:pt>
                <c:pt idx="9">
                  <c:v>Construction</c:v>
                </c:pt>
                <c:pt idx="10">
                  <c:v>Education Services</c:v>
                </c:pt>
              </c:strCache>
            </c:strRef>
          </c:cat>
          <c:val>
            <c:numRef>
              <c:f>'Q7'!$C$55:$C$65</c:f>
              <c:numCache>
                <c:formatCode>0%</c:formatCode>
                <c:ptCount val="11"/>
                <c:pt idx="0">
                  <c:v>0.22352941176470589</c:v>
                </c:pt>
                <c:pt idx="1">
                  <c:v>0.22857142857142856</c:v>
                </c:pt>
                <c:pt idx="2">
                  <c:v>0.2807017543859649</c:v>
                </c:pt>
                <c:pt idx="3">
                  <c:v>0.3108108108108108</c:v>
                </c:pt>
                <c:pt idx="4">
                  <c:v>0.33962264150943394</c:v>
                </c:pt>
                <c:pt idx="5">
                  <c:v>0.36792452830188677</c:v>
                </c:pt>
                <c:pt idx="6">
                  <c:v>0.38297872340425532</c:v>
                </c:pt>
                <c:pt idx="7">
                  <c:v>0.40112994350282488</c:v>
                </c:pt>
                <c:pt idx="8">
                  <c:v>0.54117647058823526</c:v>
                </c:pt>
                <c:pt idx="9">
                  <c:v>0.54545454545454541</c:v>
                </c:pt>
                <c:pt idx="10">
                  <c:v>0.61290322580645162</c:v>
                </c:pt>
              </c:numCache>
            </c:numRef>
          </c:val>
        </c:ser>
        <c:dLbls>
          <c:showLegendKey val="0"/>
          <c:showVal val="0"/>
          <c:showCatName val="0"/>
          <c:showSerName val="0"/>
          <c:showPercent val="0"/>
          <c:showBubbleSize val="0"/>
        </c:dLbls>
        <c:gapWidth val="182"/>
        <c:axId val="137212200"/>
        <c:axId val="137212592"/>
      </c:barChart>
      <c:catAx>
        <c:axId val="137212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2592"/>
        <c:crosses val="autoZero"/>
        <c:auto val="1"/>
        <c:lblAlgn val="ctr"/>
        <c:lblOffset val="100"/>
        <c:noMultiLvlLbl val="0"/>
      </c:catAx>
      <c:valAx>
        <c:axId val="13721259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2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Figure 23. Percent reporting they engaged in the following recruitment and retention best practices within the past three years</a:t>
            </a:r>
            <a:endParaRPr lang="en-US" sz="105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'Q12'!$D$6</c:f>
              <c:strCache>
                <c:ptCount val="1"/>
                <c:pt idx="0">
                  <c:v>% 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'Q12'!$A$7:$A$13</c:f>
              <c:strCache>
                <c:ptCount val="7"/>
                <c:pt idx="0">
                  <c:v>Other</c:v>
                </c:pt>
                <c:pt idx="1">
                  <c:v>None of the above</c:v>
                </c:pt>
                <c:pt idx="2">
                  <c:v>Participate in hiring events focused on people of color</c:v>
                </c:pt>
                <c:pt idx="3">
                  <c:v>Support a formal mentoring program among employees</c:v>
                </c:pt>
                <c:pt idx="4">
                  <c:v>Make diversity training available to all employees</c:v>
                </c:pt>
                <c:pt idx="5">
                  <c:v>Pay for professional development of employees</c:v>
                </c:pt>
                <c:pt idx="6">
                  <c:v>Ensure that stated minimum qualifications are truly required</c:v>
                </c:pt>
              </c:strCache>
            </c:strRef>
          </c:cat>
          <c:val>
            <c:numRef>
              <c:f>'Q12'!$D$7:$D$13</c:f>
              <c:numCache>
                <c:formatCode>0%</c:formatCode>
                <c:ptCount val="7"/>
                <c:pt idx="0">
                  <c:v>5.7459677419354836E-2</c:v>
                </c:pt>
                <c:pt idx="1">
                  <c:v>0.20262096774193547</c:v>
                </c:pt>
                <c:pt idx="2">
                  <c:v>0.21673387096774194</c:v>
                </c:pt>
                <c:pt idx="3">
                  <c:v>0.25806451612903225</c:v>
                </c:pt>
                <c:pt idx="4">
                  <c:v>0.3276209677419355</c:v>
                </c:pt>
                <c:pt idx="5">
                  <c:v>0.48790322580645162</c:v>
                </c:pt>
                <c:pt idx="6">
                  <c:v>0.55443548387096775</c:v>
                </c:pt>
              </c:numCache>
            </c:numRef>
          </c:val>
        </c:ser>
        <c:dLbls>
          <c:showLegendKey val="0"/>
          <c:showVal val="0"/>
          <c:showCatName val="0"/>
          <c:showSerName val="0"/>
          <c:showPercent val="0"/>
          <c:showBubbleSize val="0"/>
        </c:dLbls>
        <c:gapWidth val="182"/>
        <c:axId val="137212984"/>
        <c:axId val="137213376"/>
      </c:barChart>
      <c:catAx>
        <c:axId val="137212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3376"/>
        <c:crosses val="autoZero"/>
        <c:auto val="1"/>
        <c:lblAlgn val="ctr"/>
        <c:lblOffset val="100"/>
        <c:noMultiLvlLbl val="0"/>
      </c:catAx>
      <c:valAx>
        <c:axId val="137213376"/>
        <c:scaling>
          <c:orientation val="minMax"/>
        </c:scaling>
        <c:delete val="1"/>
        <c:axPos val="b"/>
        <c:numFmt formatCode="0%" sourceLinked="1"/>
        <c:majorTickMark val="none"/>
        <c:minorTickMark val="none"/>
        <c:tickLblPos val="nextTo"/>
        <c:crossAx val="137212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Figure 24. Percent reporting they engaged in the following leadership best practices within the past three years</a:t>
            </a:r>
            <a:endParaRPr lang="en-US" sz="105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'Q13'!$D$6</c:f>
              <c:strCache>
                <c:ptCount val="1"/>
                <c:pt idx="0">
                  <c:v>% 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'Q13'!$A$7:$A$13</c:f>
              <c:strCache>
                <c:ptCount val="7"/>
                <c:pt idx="0">
                  <c:v>Other</c:v>
                </c:pt>
                <c:pt idx="1">
                  <c:v>Establish explicit goals for the use of women- or minority-owned suppliers</c:v>
                </c:pt>
                <c:pt idx="2">
                  <c:v>Include progress on diversity goals in at least one manager's job review</c:v>
                </c:pt>
                <c:pt idx="3">
                  <c:v>Devote an office, department, or task force to increasing diversity</c:v>
                </c:pt>
                <c:pt idx="4">
                  <c:v>Develop a clear business rationale for increased diversity</c:v>
                </c:pt>
                <c:pt idx="5">
                  <c:v>Senior leadership communicate commitment to diversity</c:v>
                </c:pt>
                <c:pt idx="6">
                  <c:v>None of the above</c:v>
                </c:pt>
              </c:strCache>
            </c:strRef>
          </c:cat>
          <c:val>
            <c:numRef>
              <c:f>'Q13'!$D$7:$D$13</c:f>
              <c:numCache>
                <c:formatCode>0%</c:formatCode>
                <c:ptCount val="7"/>
                <c:pt idx="0">
                  <c:v>0.05</c:v>
                </c:pt>
                <c:pt idx="1">
                  <c:v>7.9166666666666663E-2</c:v>
                </c:pt>
                <c:pt idx="2">
                  <c:v>0.12604166666666666</c:v>
                </c:pt>
                <c:pt idx="3">
                  <c:v>0.14895833333333333</c:v>
                </c:pt>
                <c:pt idx="4">
                  <c:v>0.20937500000000001</c:v>
                </c:pt>
                <c:pt idx="5">
                  <c:v>0.34791666666666665</c:v>
                </c:pt>
                <c:pt idx="6">
                  <c:v>0.51875000000000004</c:v>
                </c:pt>
              </c:numCache>
            </c:numRef>
          </c:val>
        </c:ser>
        <c:dLbls>
          <c:showLegendKey val="0"/>
          <c:showVal val="0"/>
          <c:showCatName val="0"/>
          <c:showSerName val="0"/>
          <c:showPercent val="0"/>
          <c:showBubbleSize val="0"/>
        </c:dLbls>
        <c:gapWidth val="182"/>
        <c:axId val="137214160"/>
        <c:axId val="137214552"/>
      </c:barChart>
      <c:catAx>
        <c:axId val="137214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14552"/>
        <c:crosses val="autoZero"/>
        <c:auto val="1"/>
        <c:lblAlgn val="ctr"/>
        <c:lblOffset val="100"/>
        <c:noMultiLvlLbl val="0"/>
      </c:catAx>
      <c:valAx>
        <c:axId val="137214552"/>
        <c:scaling>
          <c:orientation val="minMax"/>
        </c:scaling>
        <c:delete val="1"/>
        <c:axPos val="b"/>
        <c:numFmt formatCode="0%" sourceLinked="1"/>
        <c:majorTickMark val="none"/>
        <c:minorTickMark val="none"/>
        <c:tickLblPos val="nextTo"/>
        <c:crossAx val="137214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26. Percent reporting they have engaged in the following recruitment and retention best practices within the past three years, by firm size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tx>
            <c:strRef>
              <c:f>'Q12'!$C$34</c:f>
              <c:strCache>
                <c:ptCount val="1"/>
                <c:pt idx="0">
                  <c:v>Small (10 to 49 employees)</c:v>
                </c:pt>
              </c:strCache>
            </c:strRef>
          </c:tx>
          <c:spPr>
            <a:solidFill>
              <a:schemeClr val="accent3"/>
            </a:solidFill>
            <a:ln>
              <a:noFill/>
            </a:ln>
            <a:effectLst/>
          </c:spPr>
          <c:invertIfNegative val="0"/>
          <c:cat>
            <c:strRef>
              <c:f>'Q12'!$A$35:$A$41</c:f>
              <c:strCache>
                <c:ptCount val="7"/>
                <c:pt idx="0">
                  <c:v>None of the above</c:v>
                </c:pt>
                <c:pt idx="1">
                  <c:v>Other</c:v>
                </c:pt>
                <c:pt idx="2">
                  <c:v>Support a formal mentoring program among employees</c:v>
                </c:pt>
                <c:pt idx="3">
                  <c:v>Participate in hiring events focused on people of color</c:v>
                </c:pt>
                <c:pt idx="4">
                  <c:v>Make diversity training available to all employees</c:v>
                </c:pt>
                <c:pt idx="5">
                  <c:v>Pay for professional development of employees</c:v>
                </c:pt>
                <c:pt idx="6">
                  <c:v>Ensure that stated minimum qualifications are truly required</c:v>
                </c:pt>
              </c:strCache>
            </c:strRef>
          </c:cat>
          <c:val>
            <c:numRef>
              <c:f>'Q12'!$C$35:$C$41</c:f>
              <c:numCache>
                <c:formatCode>0%</c:formatCode>
                <c:ptCount val="7"/>
                <c:pt idx="0">
                  <c:v>0.36842105263157893</c:v>
                </c:pt>
                <c:pt idx="1">
                  <c:v>3.3834586466165412E-2</c:v>
                </c:pt>
                <c:pt idx="2">
                  <c:v>0.17293233082706766</c:v>
                </c:pt>
                <c:pt idx="3">
                  <c:v>5.6390977443609019E-2</c:v>
                </c:pt>
                <c:pt idx="4">
                  <c:v>0.13157894736842105</c:v>
                </c:pt>
                <c:pt idx="5">
                  <c:v>0.36090225563909772</c:v>
                </c:pt>
                <c:pt idx="6">
                  <c:v>0.42105263157894735</c:v>
                </c:pt>
              </c:numCache>
            </c:numRef>
          </c:val>
        </c:ser>
        <c:ser>
          <c:idx val="3"/>
          <c:order val="3"/>
          <c:tx>
            <c:strRef>
              <c:f>'Q12'!$E$34</c:f>
              <c:strCache>
                <c:ptCount val="1"/>
                <c:pt idx="0">
                  <c:v>Medium (50 to 249 employees)</c:v>
                </c:pt>
              </c:strCache>
            </c:strRef>
          </c:tx>
          <c:spPr>
            <a:solidFill>
              <a:schemeClr val="accent2"/>
            </a:solidFill>
            <a:ln>
              <a:noFill/>
            </a:ln>
            <a:effectLst/>
          </c:spPr>
          <c:invertIfNegative val="0"/>
          <c:cat>
            <c:strRef>
              <c:f>'Q12'!$A$35:$A$41</c:f>
              <c:strCache>
                <c:ptCount val="7"/>
                <c:pt idx="0">
                  <c:v>None of the above</c:v>
                </c:pt>
                <c:pt idx="1">
                  <c:v>Other</c:v>
                </c:pt>
                <c:pt idx="2">
                  <c:v>Support a formal mentoring program among employees</c:v>
                </c:pt>
                <c:pt idx="3">
                  <c:v>Participate in hiring events focused on people of color</c:v>
                </c:pt>
                <c:pt idx="4">
                  <c:v>Make diversity training available to all employees</c:v>
                </c:pt>
                <c:pt idx="5">
                  <c:v>Pay for professional development of employees</c:v>
                </c:pt>
                <c:pt idx="6">
                  <c:v>Ensure that stated minimum qualifications are truly required</c:v>
                </c:pt>
              </c:strCache>
            </c:strRef>
          </c:cat>
          <c:val>
            <c:numRef>
              <c:f>'Q12'!$E$35:$E$41</c:f>
              <c:numCache>
                <c:formatCode>0%</c:formatCode>
                <c:ptCount val="7"/>
                <c:pt idx="0">
                  <c:v>0.19026548672566371</c:v>
                </c:pt>
                <c:pt idx="1">
                  <c:v>5.0884955752212392E-2</c:v>
                </c:pt>
                <c:pt idx="2">
                  <c:v>0.24336283185840707</c:v>
                </c:pt>
                <c:pt idx="3">
                  <c:v>0.17035398230088494</c:v>
                </c:pt>
                <c:pt idx="4">
                  <c:v>0.31858407079646017</c:v>
                </c:pt>
                <c:pt idx="5">
                  <c:v>0.48893805309734512</c:v>
                </c:pt>
                <c:pt idx="6">
                  <c:v>0.55973451327433632</c:v>
                </c:pt>
              </c:numCache>
            </c:numRef>
          </c:val>
        </c:ser>
        <c:ser>
          <c:idx val="5"/>
          <c:order val="5"/>
          <c:tx>
            <c:strRef>
              <c:f>'Q12'!$G$34</c:f>
              <c:strCache>
                <c:ptCount val="1"/>
                <c:pt idx="0">
                  <c:v>Large (250+ employees)</c:v>
                </c:pt>
              </c:strCache>
            </c:strRef>
          </c:tx>
          <c:spPr>
            <a:solidFill>
              <a:schemeClr val="accent1"/>
            </a:solidFill>
            <a:ln>
              <a:noFill/>
            </a:ln>
            <a:effectLst/>
          </c:spPr>
          <c:invertIfNegative val="0"/>
          <c:cat>
            <c:strRef>
              <c:f>'Q12'!$A$35:$A$41</c:f>
              <c:strCache>
                <c:ptCount val="7"/>
                <c:pt idx="0">
                  <c:v>None of the above</c:v>
                </c:pt>
                <c:pt idx="1">
                  <c:v>Other</c:v>
                </c:pt>
                <c:pt idx="2">
                  <c:v>Support a formal mentoring program among employees</c:v>
                </c:pt>
                <c:pt idx="3">
                  <c:v>Participate in hiring events focused on people of color</c:v>
                </c:pt>
                <c:pt idx="4">
                  <c:v>Make diversity training available to all employees</c:v>
                </c:pt>
                <c:pt idx="5">
                  <c:v>Pay for professional development of employees</c:v>
                </c:pt>
                <c:pt idx="6">
                  <c:v>Ensure that stated minimum qualifications are truly required</c:v>
                </c:pt>
              </c:strCache>
            </c:strRef>
          </c:cat>
          <c:val>
            <c:numRef>
              <c:f>'Q12'!$G$35:$G$41</c:f>
              <c:numCache>
                <c:formatCode>0%</c:formatCode>
                <c:ptCount val="7"/>
                <c:pt idx="0">
                  <c:v>6.2043795620437957E-2</c:v>
                </c:pt>
                <c:pt idx="1">
                  <c:v>9.1240875912408759E-2</c:v>
                </c:pt>
                <c:pt idx="2">
                  <c:v>0.36496350364963503</c:v>
                </c:pt>
                <c:pt idx="3">
                  <c:v>0.4489051094890511</c:v>
                </c:pt>
                <c:pt idx="4">
                  <c:v>0.53284671532846717</c:v>
                </c:pt>
                <c:pt idx="5">
                  <c:v>0.60948905109489049</c:v>
                </c:pt>
                <c:pt idx="6">
                  <c:v>0.67518248175182483</c:v>
                </c:pt>
              </c:numCache>
            </c:numRef>
          </c:val>
        </c:ser>
        <c:dLbls>
          <c:showLegendKey val="0"/>
          <c:showVal val="0"/>
          <c:showCatName val="0"/>
          <c:showSerName val="0"/>
          <c:showPercent val="0"/>
          <c:showBubbleSize val="0"/>
        </c:dLbls>
        <c:gapWidth val="182"/>
        <c:axId val="137289400"/>
        <c:axId val="137289792"/>
        <c:extLst>
          <c:ext xmlns:c15="http://schemas.microsoft.com/office/drawing/2012/chart" uri="{02D57815-91ED-43cb-92C2-25804820EDAC}">
            <c15:filteredBarSeries>
              <c15:ser>
                <c:idx val="0"/>
                <c:order val="0"/>
                <c:tx>
                  <c:strRef>
                    <c:extLst>
                      <c:ext uri="{02D57815-91ED-43cb-92C2-25804820EDAC}">
                        <c15:formulaRef>
                          <c15:sqref>'Q12'!$B$34</c15:sqref>
                        </c15:formulaRef>
                      </c:ext>
                    </c:extLst>
                    <c:strCache>
                      <c:ptCount val="1"/>
                      <c:pt idx="0">
                        <c:v>Small</c:v>
                      </c:pt>
                    </c:strCache>
                  </c:strRef>
                </c:tx>
                <c:spPr>
                  <a:solidFill>
                    <a:schemeClr val="accent1"/>
                  </a:solidFill>
                  <a:ln>
                    <a:noFill/>
                  </a:ln>
                  <a:effectLst/>
                </c:spPr>
                <c:invertIfNegative val="0"/>
                <c:cat>
                  <c:strRef>
                    <c:extLst>
                      <c:ext uri="{02D57815-91ED-43cb-92C2-25804820EDAC}">
                        <c15:formulaRef>
                          <c15:sqref>'Q12'!$A$35:$A$41</c15:sqref>
                        </c15:formulaRef>
                      </c:ext>
                    </c:extLst>
                    <c:strCache>
                      <c:ptCount val="7"/>
                      <c:pt idx="0">
                        <c:v>None of the above</c:v>
                      </c:pt>
                      <c:pt idx="1">
                        <c:v>Other</c:v>
                      </c:pt>
                      <c:pt idx="2">
                        <c:v>Support a formal mentoring program among employees</c:v>
                      </c:pt>
                      <c:pt idx="3">
                        <c:v>Participate in hiring events focused on people of color</c:v>
                      </c:pt>
                      <c:pt idx="4">
                        <c:v>Make diversity training available to all employees</c:v>
                      </c:pt>
                      <c:pt idx="5">
                        <c:v>Pay for professional development of employees</c:v>
                      </c:pt>
                      <c:pt idx="6">
                        <c:v>Ensure that stated minimum qualifications are truly required</c:v>
                      </c:pt>
                    </c:strCache>
                  </c:strRef>
                </c:cat>
                <c:val>
                  <c:numRef>
                    <c:extLst>
                      <c:ext uri="{02D57815-91ED-43cb-92C2-25804820EDAC}">
                        <c15:formulaRef>
                          <c15:sqref>'Q12'!$B$35:$B$41</c15:sqref>
                        </c15:formulaRef>
                      </c:ext>
                    </c:extLst>
                    <c:numCache>
                      <c:formatCode>General</c:formatCode>
                      <c:ptCount val="7"/>
                      <c:pt idx="0">
                        <c:v>98</c:v>
                      </c:pt>
                      <c:pt idx="1">
                        <c:v>9</c:v>
                      </c:pt>
                      <c:pt idx="2">
                        <c:v>46</c:v>
                      </c:pt>
                      <c:pt idx="3">
                        <c:v>15</c:v>
                      </c:pt>
                      <c:pt idx="4">
                        <c:v>35</c:v>
                      </c:pt>
                      <c:pt idx="5">
                        <c:v>96</c:v>
                      </c:pt>
                      <c:pt idx="6">
                        <c:v>112</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'Q12'!$D$34</c15:sqref>
                        </c15:formulaRef>
                      </c:ext>
                    </c:extLst>
                    <c:strCache>
                      <c:ptCount val="1"/>
                      <c:pt idx="0">
                        <c:v>Medium</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'Q12'!$A$35:$A$41</c15:sqref>
                        </c15:formulaRef>
                      </c:ext>
                    </c:extLst>
                    <c:strCache>
                      <c:ptCount val="7"/>
                      <c:pt idx="0">
                        <c:v>None of the above</c:v>
                      </c:pt>
                      <c:pt idx="1">
                        <c:v>Other</c:v>
                      </c:pt>
                      <c:pt idx="2">
                        <c:v>Support a formal mentoring program among employees</c:v>
                      </c:pt>
                      <c:pt idx="3">
                        <c:v>Participate in hiring events focused on people of color</c:v>
                      </c:pt>
                      <c:pt idx="4">
                        <c:v>Make diversity training available to all employees</c:v>
                      </c:pt>
                      <c:pt idx="5">
                        <c:v>Pay for professional development of employees</c:v>
                      </c:pt>
                      <c:pt idx="6">
                        <c:v>Ensure that stated minimum qualifications are truly required</c:v>
                      </c:pt>
                    </c:strCache>
                  </c:strRef>
                </c:cat>
                <c:val>
                  <c:numRef>
                    <c:extLst xmlns:c15="http://schemas.microsoft.com/office/drawing/2012/chart">
                      <c:ext xmlns:c15="http://schemas.microsoft.com/office/drawing/2012/chart" uri="{02D57815-91ED-43cb-92C2-25804820EDAC}">
                        <c15:formulaRef>
                          <c15:sqref>'Q12'!$D$35:$D$41</c15:sqref>
                        </c15:formulaRef>
                      </c:ext>
                    </c:extLst>
                    <c:numCache>
                      <c:formatCode>General</c:formatCode>
                      <c:ptCount val="7"/>
                      <c:pt idx="0">
                        <c:v>86</c:v>
                      </c:pt>
                      <c:pt idx="1">
                        <c:v>23</c:v>
                      </c:pt>
                      <c:pt idx="2">
                        <c:v>110</c:v>
                      </c:pt>
                      <c:pt idx="3">
                        <c:v>77</c:v>
                      </c:pt>
                      <c:pt idx="4">
                        <c:v>144</c:v>
                      </c:pt>
                      <c:pt idx="5">
                        <c:v>221</c:v>
                      </c:pt>
                      <c:pt idx="6">
                        <c:v>253</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'Q12'!$F$34</c15:sqref>
                        </c15:formulaRef>
                      </c:ext>
                    </c:extLst>
                    <c:strCache>
                      <c:ptCount val="1"/>
                      <c:pt idx="0">
                        <c:v>Large</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'Q12'!$A$35:$A$41</c15:sqref>
                        </c15:formulaRef>
                      </c:ext>
                    </c:extLst>
                    <c:strCache>
                      <c:ptCount val="7"/>
                      <c:pt idx="0">
                        <c:v>None of the above</c:v>
                      </c:pt>
                      <c:pt idx="1">
                        <c:v>Other</c:v>
                      </c:pt>
                      <c:pt idx="2">
                        <c:v>Support a formal mentoring program among employees</c:v>
                      </c:pt>
                      <c:pt idx="3">
                        <c:v>Participate in hiring events focused on people of color</c:v>
                      </c:pt>
                      <c:pt idx="4">
                        <c:v>Make diversity training available to all employees</c:v>
                      </c:pt>
                      <c:pt idx="5">
                        <c:v>Pay for professional development of employees</c:v>
                      </c:pt>
                      <c:pt idx="6">
                        <c:v>Ensure that stated minimum qualifications are truly required</c:v>
                      </c:pt>
                    </c:strCache>
                  </c:strRef>
                </c:cat>
                <c:val>
                  <c:numRef>
                    <c:extLst xmlns:c15="http://schemas.microsoft.com/office/drawing/2012/chart">
                      <c:ext xmlns:c15="http://schemas.microsoft.com/office/drawing/2012/chart" uri="{02D57815-91ED-43cb-92C2-25804820EDAC}">
                        <c15:formulaRef>
                          <c15:sqref>'Q12'!$F$35:$F$41</c15:sqref>
                        </c15:formulaRef>
                      </c:ext>
                    </c:extLst>
                    <c:numCache>
                      <c:formatCode>General</c:formatCode>
                      <c:ptCount val="7"/>
                      <c:pt idx="0">
                        <c:v>17</c:v>
                      </c:pt>
                      <c:pt idx="1">
                        <c:v>25</c:v>
                      </c:pt>
                      <c:pt idx="2">
                        <c:v>100</c:v>
                      </c:pt>
                      <c:pt idx="3">
                        <c:v>123</c:v>
                      </c:pt>
                      <c:pt idx="4">
                        <c:v>146</c:v>
                      </c:pt>
                      <c:pt idx="5">
                        <c:v>167</c:v>
                      </c:pt>
                      <c:pt idx="6">
                        <c:v>185</c:v>
                      </c:pt>
                    </c:numCache>
                  </c:numRef>
                </c:val>
              </c15:ser>
            </c15:filteredBarSeries>
          </c:ext>
        </c:extLst>
      </c:barChart>
      <c:catAx>
        <c:axId val="137289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89792"/>
        <c:crosses val="autoZero"/>
        <c:auto val="1"/>
        <c:lblAlgn val="ctr"/>
        <c:lblOffset val="100"/>
        <c:noMultiLvlLbl val="0"/>
      </c:catAx>
      <c:valAx>
        <c:axId val="1372897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89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27. Percent reporting they have engaged in the following leadership best practices within the past three years, by firm size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tx>
            <c:strRef>
              <c:f>'Q13'!$C$35</c:f>
              <c:strCache>
                <c:ptCount val="1"/>
                <c:pt idx="0">
                  <c:v>Small (10 to 49 employees)</c:v>
                </c:pt>
              </c:strCache>
            </c:strRef>
          </c:tx>
          <c:spPr>
            <a:solidFill>
              <a:schemeClr val="accent3"/>
            </a:solidFill>
            <a:ln>
              <a:noFill/>
            </a:ln>
            <a:effectLst/>
          </c:spPr>
          <c:invertIfNegative val="0"/>
          <c:cat>
            <c:strRef>
              <c:f>'Q13'!$A$36:$A$42</c:f>
              <c:strCache>
                <c:ptCount val="7"/>
                <c:pt idx="0">
                  <c:v>Other</c:v>
                </c:pt>
                <c:pt idx="1">
                  <c:v>Establish explicit goals for the use of women- or minority-owned suppliers</c:v>
                </c:pt>
                <c:pt idx="2">
                  <c:v>None of the above</c:v>
                </c:pt>
                <c:pt idx="3">
                  <c:v>Include progress on diversity goals in at least one manager's job review</c:v>
                </c:pt>
                <c:pt idx="4">
                  <c:v>Devote an office, department, or task force to increasing diversity</c:v>
                </c:pt>
                <c:pt idx="5">
                  <c:v>Develop a clear business rationale for increased diversity</c:v>
                </c:pt>
                <c:pt idx="6">
                  <c:v>Senior leadership communicate commitment to diversity</c:v>
                </c:pt>
              </c:strCache>
            </c:strRef>
          </c:cat>
          <c:val>
            <c:numRef>
              <c:f>'Q13'!$C$36:$C$42</c:f>
              <c:numCache>
                <c:formatCode>0%</c:formatCode>
                <c:ptCount val="7"/>
                <c:pt idx="0">
                  <c:v>3.4883720930232558E-2</c:v>
                </c:pt>
                <c:pt idx="1">
                  <c:v>4.6511627906976744E-2</c:v>
                </c:pt>
                <c:pt idx="2">
                  <c:v>0.75968992248062017</c:v>
                </c:pt>
                <c:pt idx="3">
                  <c:v>1.1627906976744186E-2</c:v>
                </c:pt>
                <c:pt idx="4">
                  <c:v>1.1627906976744186E-2</c:v>
                </c:pt>
                <c:pt idx="5">
                  <c:v>8.9147286821705432E-2</c:v>
                </c:pt>
                <c:pt idx="6">
                  <c:v>0.13953488372093023</c:v>
                </c:pt>
              </c:numCache>
            </c:numRef>
          </c:val>
        </c:ser>
        <c:ser>
          <c:idx val="3"/>
          <c:order val="3"/>
          <c:tx>
            <c:strRef>
              <c:f>'Q13'!$E$35</c:f>
              <c:strCache>
                <c:ptCount val="1"/>
                <c:pt idx="0">
                  <c:v>Medium (50 to 249 employees)</c:v>
                </c:pt>
              </c:strCache>
            </c:strRef>
          </c:tx>
          <c:spPr>
            <a:solidFill>
              <a:schemeClr val="accent2"/>
            </a:solidFill>
            <a:ln>
              <a:noFill/>
            </a:ln>
            <a:effectLst/>
          </c:spPr>
          <c:invertIfNegative val="0"/>
          <c:cat>
            <c:strRef>
              <c:f>'Q13'!$A$36:$A$42</c:f>
              <c:strCache>
                <c:ptCount val="7"/>
                <c:pt idx="0">
                  <c:v>Other</c:v>
                </c:pt>
                <c:pt idx="1">
                  <c:v>Establish explicit goals for the use of women- or minority-owned suppliers</c:v>
                </c:pt>
                <c:pt idx="2">
                  <c:v>None of the above</c:v>
                </c:pt>
                <c:pt idx="3">
                  <c:v>Include progress on diversity goals in at least one manager's job review</c:v>
                </c:pt>
                <c:pt idx="4">
                  <c:v>Devote an office, department, or task force to increasing diversity</c:v>
                </c:pt>
                <c:pt idx="5">
                  <c:v>Develop a clear business rationale for increased diversity</c:v>
                </c:pt>
                <c:pt idx="6">
                  <c:v>Senior leadership communicate commitment to diversity</c:v>
                </c:pt>
              </c:strCache>
            </c:strRef>
          </c:cat>
          <c:val>
            <c:numRef>
              <c:f>'Q13'!$E$36:$E$42</c:f>
              <c:numCache>
                <c:formatCode>0%</c:formatCode>
                <c:ptCount val="7"/>
                <c:pt idx="0">
                  <c:v>4.1284403669724773E-2</c:v>
                </c:pt>
                <c:pt idx="1">
                  <c:v>6.6513761467889912E-2</c:v>
                </c:pt>
                <c:pt idx="2">
                  <c:v>0.52522935779816515</c:v>
                </c:pt>
                <c:pt idx="3">
                  <c:v>9.4036697247706427E-2</c:v>
                </c:pt>
                <c:pt idx="4">
                  <c:v>0.11238532110091744</c:v>
                </c:pt>
                <c:pt idx="5">
                  <c:v>0.18119266055045871</c:v>
                </c:pt>
                <c:pt idx="6">
                  <c:v>0.34633027522935778</c:v>
                </c:pt>
              </c:numCache>
            </c:numRef>
          </c:val>
        </c:ser>
        <c:ser>
          <c:idx val="5"/>
          <c:order val="5"/>
          <c:tx>
            <c:strRef>
              <c:f>'Q13'!$G$35</c:f>
              <c:strCache>
                <c:ptCount val="1"/>
                <c:pt idx="0">
                  <c:v>Large (250+ employees)</c:v>
                </c:pt>
              </c:strCache>
            </c:strRef>
          </c:tx>
          <c:spPr>
            <a:solidFill>
              <a:schemeClr val="accent1"/>
            </a:solidFill>
            <a:ln>
              <a:noFill/>
            </a:ln>
            <a:effectLst/>
          </c:spPr>
          <c:invertIfNegative val="0"/>
          <c:cat>
            <c:strRef>
              <c:f>'Q13'!$A$36:$A$42</c:f>
              <c:strCache>
                <c:ptCount val="7"/>
                <c:pt idx="0">
                  <c:v>Other</c:v>
                </c:pt>
                <c:pt idx="1">
                  <c:v>Establish explicit goals for the use of women- or minority-owned suppliers</c:v>
                </c:pt>
                <c:pt idx="2">
                  <c:v>None of the above</c:v>
                </c:pt>
                <c:pt idx="3">
                  <c:v>Include progress on diversity goals in at least one manager's job review</c:v>
                </c:pt>
                <c:pt idx="4">
                  <c:v>Devote an office, department, or task force to increasing diversity</c:v>
                </c:pt>
                <c:pt idx="5">
                  <c:v>Develop a clear business rationale for increased diversity</c:v>
                </c:pt>
                <c:pt idx="6">
                  <c:v>Senior leadership communicate commitment to diversity</c:v>
                </c:pt>
              </c:strCache>
            </c:strRef>
          </c:cat>
          <c:val>
            <c:numRef>
              <c:f>'Q13'!$G$36:$G$42</c:f>
              <c:numCache>
                <c:formatCode>0%</c:formatCode>
                <c:ptCount val="7"/>
                <c:pt idx="0">
                  <c:v>7.8947368421052627E-2</c:v>
                </c:pt>
                <c:pt idx="1">
                  <c:v>0.13157894736842105</c:v>
                </c:pt>
                <c:pt idx="2">
                  <c:v>0.27443609022556392</c:v>
                </c:pt>
                <c:pt idx="3">
                  <c:v>0.28947368421052633</c:v>
                </c:pt>
                <c:pt idx="4">
                  <c:v>0.34210526315789475</c:v>
                </c:pt>
                <c:pt idx="5">
                  <c:v>0.37218045112781956</c:v>
                </c:pt>
                <c:pt idx="6">
                  <c:v>0.59022556390977443</c:v>
                </c:pt>
              </c:numCache>
            </c:numRef>
          </c:val>
        </c:ser>
        <c:dLbls>
          <c:showLegendKey val="0"/>
          <c:showVal val="0"/>
          <c:showCatName val="0"/>
          <c:showSerName val="0"/>
          <c:showPercent val="0"/>
          <c:showBubbleSize val="0"/>
        </c:dLbls>
        <c:gapWidth val="182"/>
        <c:axId val="137290576"/>
        <c:axId val="137290968"/>
        <c:extLst>
          <c:ext xmlns:c15="http://schemas.microsoft.com/office/drawing/2012/chart" uri="{02D57815-91ED-43cb-92C2-25804820EDAC}">
            <c15:filteredBarSeries>
              <c15:ser>
                <c:idx val="0"/>
                <c:order val="0"/>
                <c:tx>
                  <c:strRef>
                    <c:extLst>
                      <c:ext uri="{02D57815-91ED-43cb-92C2-25804820EDAC}">
                        <c15:formulaRef>
                          <c15:sqref>'Q13'!$B$35</c15:sqref>
                        </c15:formulaRef>
                      </c:ext>
                    </c:extLst>
                    <c:strCache>
                      <c:ptCount val="1"/>
                      <c:pt idx="0">
                        <c:v>Small</c:v>
                      </c:pt>
                    </c:strCache>
                  </c:strRef>
                </c:tx>
                <c:spPr>
                  <a:solidFill>
                    <a:schemeClr val="accent1"/>
                  </a:solidFill>
                  <a:ln>
                    <a:noFill/>
                  </a:ln>
                  <a:effectLst/>
                </c:spPr>
                <c:invertIfNegative val="0"/>
                <c:cat>
                  <c:strRef>
                    <c:extLst>
                      <c:ext uri="{02D57815-91ED-43cb-92C2-25804820EDAC}">
                        <c15:formulaRef>
                          <c15:sqref>'Q13'!$A$36:$A$42</c15:sqref>
                        </c15:formulaRef>
                      </c:ext>
                    </c:extLst>
                    <c:strCache>
                      <c:ptCount val="7"/>
                      <c:pt idx="0">
                        <c:v>Other</c:v>
                      </c:pt>
                      <c:pt idx="1">
                        <c:v>Establish explicit goals for the use of women- or minority-owned suppliers</c:v>
                      </c:pt>
                      <c:pt idx="2">
                        <c:v>None of the above</c:v>
                      </c:pt>
                      <c:pt idx="3">
                        <c:v>Include progress on diversity goals in at least one manager's job review</c:v>
                      </c:pt>
                      <c:pt idx="4">
                        <c:v>Devote an office, department, or task force to increasing diversity</c:v>
                      </c:pt>
                      <c:pt idx="5">
                        <c:v>Develop a clear business rationale for increased diversity</c:v>
                      </c:pt>
                      <c:pt idx="6">
                        <c:v>Senior leadership communicate commitment to diversity</c:v>
                      </c:pt>
                    </c:strCache>
                  </c:strRef>
                </c:cat>
                <c:val>
                  <c:numRef>
                    <c:extLst>
                      <c:ext uri="{02D57815-91ED-43cb-92C2-25804820EDAC}">
                        <c15:formulaRef>
                          <c15:sqref>'Q13'!$B$36:$B$42</c15:sqref>
                        </c15:formulaRef>
                      </c:ext>
                    </c:extLst>
                    <c:numCache>
                      <c:formatCode>General</c:formatCode>
                      <c:ptCount val="7"/>
                      <c:pt idx="0">
                        <c:v>9</c:v>
                      </c:pt>
                      <c:pt idx="1">
                        <c:v>12</c:v>
                      </c:pt>
                      <c:pt idx="2">
                        <c:v>196</c:v>
                      </c:pt>
                      <c:pt idx="3">
                        <c:v>3</c:v>
                      </c:pt>
                      <c:pt idx="4">
                        <c:v>3</c:v>
                      </c:pt>
                      <c:pt idx="5">
                        <c:v>23</c:v>
                      </c:pt>
                      <c:pt idx="6">
                        <c:v>36</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'Q13'!$D$35</c15:sqref>
                        </c15:formulaRef>
                      </c:ext>
                    </c:extLst>
                    <c:strCache>
                      <c:ptCount val="1"/>
                      <c:pt idx="0">
                        <c:v>Medium</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'Q13'!$A$36:$A$42</c15:sqref>
                        </c15:formulaRef>
                      </c:ext>
                    </c:extLst>
                    <c:strCache>
                      <c:ptCount val="7"/>
                      <c:pt idx="0">
                        <c:v>Other</c:v>
                      </c:pt>
                      <c:pt idx="1">
                        <c:v>Establish explicit goals for the use of women- or minority-owned suppliers</c:v>
                      </c:pt>
                      <c:pt idx="2">
                        <c:v>None of the above</c:v>
                      </c:pt>
                      <c:pt idx="3">
                        <c:v>Include progress on diversity goals in at least one manager's job review</c:v>
                      </c:pt>
                      <c:pt idx="4">
                        <c:v>Devote an office, department, or task force to increasing diversity</c:v>
                      </c:pt>
                      <c:pt idx="5">
                        <c:v>Develop a clear business rationale for increased diversity</c:v>
                      </c:pt>
                      <c:pt idx="6">
                        <c:v>Senior leadership communicate commitment to diversity</c:v>
                      </c:pt>
                    </c:strCache>
                  </c:strRef>
                </c:cat>
                <c:val>
                  <c:numRef>
                    <c:extLst xmlns:c15="http://schemas.microsoft.com/office/drawing/2012/chart">
                      <c:ext xmlns:c15="http://schemas.microsoft.com/office/drawing/2012/chart" uri="{02D57815-91ED-43cb-92C2-25804820EDAC}">
                        <c15:formulaRef>
                          <c15:sqref>'Q13'!$D$36:$D$42</c15:sqref>
                        </c15:formulaRef>
                      </c:ext>
                    </c:extLst>
                    <c:numCache>
                      <c:formatCode>General</c:formatCode>
                      <c:ptCount val="7"/>
                      <c:pt idx="0">
                        <c:v>18</c:v>
                      </c:pt>
                      <c:pt idx="1">
                        <c:v>29</c:v>
                      </c:pt>
                      <c:pt idx="2">
                        <c:v>229</c:v>
                      </c:pt>
                      <c:pt idx="3">
                        <c:v>41</c:v>
                      </c:pt>
                      <c:pt idx="4">
                        <c:v>49</c:v>
                      </c:pt>
                      <c:pt idx="5">
                        <c:v>79</c:v>
                      </c:pt>
                      <c:pt idx="6">
                        <c:v>151</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'Q13'!$F$35</c15:sqref>
                        </c15:formulaRef>
                      </c:ext>
                    </c:extLst>
                    <c:strCache>
                      <c:ptCount val="1"/>
                      <c:pt idx="0">
                        <c:v>Large</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'Q13'!$A$36:$A$42</c15:sqref>
                        </c15:formulaRef>
                      </c:ext>
                    </c:extLst>
                    <c:strCache>
                      <c:ptCount val="7"/>
                      <c:pt idx="0">
                        <c:v>Other</c:v>
                      </c:pt>
                      <c:pt idx="1">
                        <c:v>Establish explicit goals for the use of women- or minority-owned suppliers</c:v>
                      </c:pt>
                      <c:pt idx="2">
                        <c:v>None of the above</c:v>
                      </c:pt>
                      <c:pt idx="3">
                        <c:v>Include progress on diversity goals in at least one manager's job review</c:v>
                      </c:pt>
                      <c:pt idx="4">
                        <c:v>Devote an office, department, or task force to increasing diversity</c:v>
                      </c:pt>
                      <c:pt idx="5">
                        <c:v>Develop a clear business rationale for increased diversity</c:v>
                      </c:pt>
                      <c:pt idx="6">
                        <c:v>Senior leadership communicate commitment to diversity</c:v>
                      </c:pt>
                    </c:strCache>
                  </c:strRef>
                </c:cat>
                <c:val>
                  <c:numRef>
                    <c:extLst xmlns:c15="http://schemas.microsoft.com/office/drawing/2012/chart">
                      <c:ext xmlns:c15="http://schemas.microsoft.com/office/drawing/2012/chart" uri="{02D57815-91ED-43cb-92C2-25804820EDAC}">
                        <c15:formulaRef>
                          <c15:sqref>'Q13'!$F$36:$F$42</c15:sqref>
                        </c15:formulaRef>
                      </c:ext>
                    </c:extLst>
                    <c:numCache>
                      <c:formatCode>General</c:formatCode>
                      <c:ptCount val="7"/>
                      <c:pt idx="0">
                        <c:v>21</c:v>
                      </c:pt>
                      <c:pt idx="1">
                        <c:v>35</c:v>
                      </c:pt>
                      <c:pt idx="2">
                        <c:v>73</c:v>
                      </c:pt>
                      <c:pt idx="3">
                        <c:v>77</c:v>
                      </c:pt>
                      <c:pt idx="4">
                        <c:v>91</c:v>
                      </c:pt>
                      <c:pt idx="5">
                        <c:v>99</c:v>
                      </c:pt>
                      <c:pt idx="6">
                        <c:v>157</c:v>
                      </c:pt>
                    </c:numCache>
                  </c:numRef>
                </c:val>
              </c15:ser>
            </c15:filteredBarSeries>
          </c:ext>
        </c:extLst>
      </c:barChart>
      <c:catAx>
        <c:axId val="137290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90968"/>
        <c:crosses val="autoZero"/>
        <c:auto val="1"/>
        <c:lblAlgn val="ctr"/>
        <c:lblOffset val="100"/>
        <c:noMultiLvlLbl val="0"/>
      </c:catAx>
      <c:valAx>
        <c:axId val="13729096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90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3. Percent</a:t>
            </a:r>
            <a:r>
              <a:rPr lang="en-US" sz="1200" baseline="0"/>
              <a:t> reporting they include the following in their definition of diversity, by firm size</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'Q1'!$J$28</c:f>
              <c:strCache>
                <c:ptCount val="1"/>
                <c:pt idx="0">
                  <c:v>Small (10 to 49 employees)</c:v>
                </c:pt>
              </c:strCache>
            </c:strRef>
          </c:tx>
          <c:spPr>
            <a:solidFill>
              <a:schemeClr val="accent6"/>
            </a:solidFill>
            <a:ln>
              <a:noFill/>
            </a:ln>
            <a:effectLst/>
          </c:spPr>
          <c:invertIfNegative val="0"/>
          <c:cat>
            <c:strRef>
              <c:f>'Q1'!$I$29:$I$40</c:f>
              <c:strCache>
                <c:ptCount val="12"/>
                <c:pt idx="0">
                  <c:v>Criminal background</c:v>
                </c:pt>
                <c:pt idx="1">
                  <c:v>Personality type</c:v>
                </c:pt>
                <c:pt idx="2">
                  <c:v>Values/beliefs</c:v>
                </c:pt>
                <c:pt idx="3">
                  <c:v>Language spoken</c:v>
                </c:pt>
                <c:pt idx="4">
                  <c:v>Veteran status</c:v>
                </c:pt>
                <c:pt idx="5">
                  <c:v>Religion</c:v>
                </c:pt>
                <c:pt idx="6">
                  <c:v>Sexual orientation</c:v>
                </c:pt>
                <c:pt idx="7">
                  <c:v>Disability</c:v>
                </c:pt>
                <c:pt idx="8">
                  <c:v>Age</c:v>
                </c:pt>
                <c:pt idx="9">
                  <c:v>National origin</c:v>
                </c:pt>
                <c:pt idx="10">
                  <c:v>Gender</c:v>
                </c:pt>
                <c:pt idx="11">
                  <c:v>Race/ethnicity</c:v>
                </c:pt>
              </c:strCache>
            </c:strRef>
          </c:cat>
          <c:val>
            <c:numRef>
              <c:f>'Q1'!$J$29:$J$40</c:f>
              <c:numCache>
                <c:formatCode>0%</c:formatCode>
                <c:ptCount val="12"/>
                <c:pt idx="0">
                  <c:v>0.12318840579710146</c:v>
                </c:pt>
                <c:pt idx="1">
                  <c:v>0.22463768115942029</c:v>
                </c:pt>
                <c:pt idx="2">
                  <c:v>0.21739130434782608</c:v>
                </c:pt>
                <c:pt idx="3">
                  <c:v>0.26449275362318841</c:v>
                </c:pt>
                <c:pt idx="4">
                  <c:v>0.27536231884057971</c:v>
                </c:pt>
                <c:pt idx="5">
                  <c:v>0.30072463768115942</c:v>
                </c:pt>
                <c:pt idx="6">
                  <c:v>0.35144927536231885</c:v>
                </c:pt>
                <c:pt idx="7">
                  <c:v>0.42028985507246375</c:v>
                </c:pt>
                <c:pt idx="8">
                  <c:v>0.72101449275362317</c:v>
                </c:pt>
                <c:pt idx="9">
                  <c:v>0.43478260869565216</c:v>
                </c:pt>
                <c:pt idx="10">
                  <c:v>0.69202898550724634</c:v>
                </c:pt>
                <c:pt idx="11">
                  <c:v>0.76086956521739135</c:v>
                </c:pt>
              </c:numCache>
            </c:numRef>
          </c:val>
        </c:ser>
        <c:ser>
          <c:idx val="1"/>
          <c:order val="1"/>
          <c:tx>
            <c:strRef>
              <c:f>'Q1'!$K$28</c:f>
              <c:strCache>
                <c:ptCount val="1"/>
                <c:pt idx="0">
                  <c:v>Medium (50 to 249 employees)</c:v>
                </c:pt>
              </c:strCache>
            </c:strRef>
          </c:tx>
          <c:spPr>
            <a:solidFill>
              <a:schemeClr val="accent3"/>
            </a:solidFill>
            <a:ln>
              <a:noFill/>
            </a:ln>
            <a:effectLst/>
          </c:spPr>
          <c:invertIfNegative val="0"/>
          <c:cat>
            <c:strRef>
              <c:f>'Q1'!$I$29:$I$40</c:f>
              <c:strCache>
                <c:ptCount val="12"/>
                <c:pt idx="0">
                  <c:v>Criminal background</c:v>
                </c:pt>
                <c:pt idx="1">
                  <c:v>Personality type</c:v>
                </c:pt>
                <c:pt idx="2">
                  <c:v>Values/beliefs</c:v>
                </c:pt>
                <c:pt idx="3">
                  <c:v>Language spoken</c:v>
                </c:pt>
                <c:pt idx="4">
                  <c:v>Veteran status</c:v>
                </c:pt>
                <c:pt idx="5">
                  <c:v>Religion</c:v>
                </c:pt>
                <c:pt idx="6">
                  <c:v>Sexual orientation</c:v>
                </c:pt>
                <c:pt idx="7">
                  <c:v>Disability</c:v>
                </c:pt>
                <c:pt idx="8">
                  <c:v>Age</c:v>
                </c:pt>
                <c:pt idx="9">
                  <c:v>National origin</c:v>
                </c:pt>
                <c:pt idx="10">
                  <c:v>Gender</c:v>
                </c:pt>
                <c:pt idx="11">
                  <c:v>Race/ethnicity</c:v>
                </c:pt>
              </c:strCache>
            </c:strRef>
          </c:cat>
          <c:val>
            <c:numRef>
              <c:f>'Q1'!$K$29:$K$40</c:f>
              <c:numCache>
                <c:formatCode>0%</c:formatCode>
                <c:ptCount val="12"/>
                <c:pt idx="0">
                  <c:v>0.17016806722689076</c:v>
                </c:pt>
                <c:pt idx="1">
                  <c:v>0.26680672268907563</c:v>
                </c:pt>
                <c:pt idx="2">
                  <c:v>0.29831932773109243</c:v>
                </c:pt>
                <c:pt idx="3">
                  <c:v>0.38655462184873951</c:v>
                </c:pt>
                <c:pt idx="4">
                  <c:v>0.40966386554621848</c:v>
                </c:pt>
                <c:pt idx="5">
                  <c:v>0.43907563025210083</c:v>
                </c:pt>
                <c:pt idx="6">
                  <c:v>0.51680672268907568</c:v>
                </c:pt>
                <c:pt idx="7">
                  <c:v>0.55672268907563027</c:v>
                </c:pt>
                <c:pt idx="8">
                  <c:v>0.75840336134453779</c:v>
                </c:pt>
                <c:pt idx="9">
                  <c:v>0.67016806722689071</c:v>
                </c:pt>
                <c:pt idx="10">
                  <c:v>0.76470588235294112</c:v>
                </c:pt>
                <c:pt idx="11">
                  <c:v>0.87394957983193278</c:v>
                </c:pt>
              </c:numCache>
            </c:numRef>
          </c:val>
        </c:ser>
        <c:ser>
          <c:idx val="2"/>
          <c:order val="2"/>
          <c:tx>
            <c:strRef>
              <c:f>'Q1'!$L$28</c:f>
              <c:strCache>
                <c:ptCount val="1"/>
                <c:pt idx="0">
                  <c:v>Large (250+ employees)</c:v>
                </c:pt>
              </c:strCache>
            </c:strRef>
          </c:tx>
          <c:spPr>
            <a:solidFill>
              <a:srgbClr val="003865"/>
            </a:solidFill>
            <a:ln>
              <a:noFill/>
            </a:ln>
            <a:effectLst/>
          </c:spPr>
          <c:invertIfNegative val="0"/>
          <c:cat>
            <c:strRef>
              <c:f>'Q1'!$I$29:$I$40</c:f>
              <c:strCache>
                <c:ptCount val="12"/>
                <c:pt idx="0">
                  <c:v>Criminal background</c:v>
                </c:pt>
                <c:pt idx="1">
                  <c:v>Personality type</c:v>
                </c:pt>
                <c:pt idx="2">
                  <c:v>Values/beliefs</c:v>
                </c:pt>
                <c:pt idx="3">
                  <c:v>Language spoken</c:v>
                </c:pt>
                <c:pt idx="4">
                  <c:v>Veteran status</c:v>
                </c:pt>
                <c:pt idx="5">
                  <c:v>Religion</c:v>
                </c:pt>
                <c:pt idx="6">
                  <c:v>Sexual orientation</c:v>
                </c:pt>
                <c:pt idx="7">
                  <c:v>Disability</c:v>
                </c:pt>
                <c:pt idx="8">
                  <c:v>Age</c:v>
                </c:pt>
                <c:pt idx="9">
                  <c:v>National origin</c:v>
                </c:pt>
                <c:pt idx="10">
                  <c:v>Gender</c:v>
                </c:pt>
                <c:pt idx="11">
                  <c:v>Race/ethnicity</c:v>
                </c:pt>
              </c:strCache>
            </c:strRef>
          </c:cat>
          <c:val>
            <c:numRef>
              <c:f>'Q1'!$L$29:$L$40</c:f>
              <c:numCache>
                <c:formatCode>0%</c:formatCode>
                <c:ptCount val="12"/>
                <c:pt idx="0">
                  <c:v>0.17421602787456447</c:v>
                </c:pt>
                <c:pt idx="1">
                  <c:v>0.32752613240418116</c:v>
                </c:pt>
                <c:pt idx="2">
                  <c:v>0.41463414634146339</c:v>
                </c:pt>
                <c:pt idx="3">
                  <c:v>0.53658536585365857</c:v>
                </c:pt>
                <c:pt idx="4">
                  <c:v>0.61672473867595823</c:v>
                </c:pt>
                <c:pt idx="5">
                  <c:v>0.66550522648083621</c:v>
                </c:pt>
                <c:pt idx="6">
                  <c:v>0.68989547038327526</c:v>
                </c:pt>
                <c:pt idx="7">
                  <c:v>0.76306620209059228</c:v>
                </c:pt>
                <c:pt idx="8">
                  <c:v>0.80139372822299648</c:v>
                </c:pt>
                <c:pt idx="9">
                  <c:v>0.81533101045296164</c:v>
                </c:pt>
                <c:pt idx="10">
                  <c:v>0.86759581881533099</c:v>
                </c:pt>
                <c:pt idx="11">
                  <c:v>0.95470383275261328</c:v>
                </c:pt>
              </c:numCache>
            </c:numRef>
          </c:val>
        </c:ser>
        <c:dLbls>
          <c:showLegendKey val="0"/>
          <c:showVal val="0"/>
          <c:showCatName val="0"/>
          <c:showSerName val="0"/>
          <c:showPercent val="0"/>
          <c:showBubbleSize val="0"/>
        </c:dLbls>
        <c:gapWidth val="182"/>
        <c:axId val="135892872"/>
        <c:axId val="135898376"/>
      </c:barChart>
      <c:catAx>
        <c:axId val="135892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98376"/>
        <c:crosses val="autoZero"/>
        <c:auto val="1"/>
        <c:lblAlgn val="ctr"/>
        <c:lblOffset val="100"/>
        <c:noMultiLvlLbl val="0"/>
      </c:catAx>
      <c:valAx>
        <c:axId val="13589837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92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7. Percent of workers in each firm size category from communities of color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Data!$B$26</c:f>
              <c:strCache>
                <c:ptCount val="1"/>
                <c:pt idx="0">
                  <c:v>Percent of workers in each firm size category from communities of color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Data!$A$27:$A$29</c:f>
              <c:strCache>
                <c:ptCount val="3"/>
                <c:pt idx="0">
                  <c:v>Small (20 to 49 employees)</c:v>
                </c:pt>
                <c:pt idx="1">
                  <c:v>Medium (50 to 249 employees)</c:v>
                </c:pt>
                <c:pt idx="2">
                  <c:v>Large (250+ employees)</c:v>
                </c:pt>
              </c:strCache>
            </c:strRef>
          </c:cat>
          <c:val>
            <c:numRef>
              <c:f>Data!$B$27:$B$29</c:f>
              <c:numCache>
                <c:formatCode>0%</c:formatCode>
                <c:ptCount val="3"/>
                <c:pt idx="0">
                  <c:v>0.14661694489391053</c:v>
                </c:pt>
                <c:pt idx="1">
                  <c:v>0.17420579053681826</c:v>
                </c:pt>
                <c:pt idx="2">
                  <c:v>0.18429712959106168</c:v>
                </c:pt>
              </c:numCache>
            </c:numRef>
          </c:val>
        </c:ser>
        <c:dLbls>
          <c:showLegendKey val="0"/>
          <c:showVal val="0"/>
          <c:showCatName val="0"/>
          <c:showSerName val="0"/>
          <c:showPercent val="0"/>
          <c:showBubbleSize val="0"/>
        </c:dLbls>
        <c:gapWidth val="182"/>
        <c:axId val="135985368"/>
        <c:axId val="135985752"/>
      </c:barChart>
      <c:catAx>
        <c:axId val="135985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985752"/>
        <c:crosses val="autoZero"/>
        <c:auto val="1"/>
        <c:lblAlgn val="ctr"/>
        <c:lblOffset val="100"/>
        <c:noMultiLvlLbl val="0"/>
      </c:catAx>
      <c:valAx>
        <c:axId val="135985752"/>
        <c:scaling>
          <c:orientation val="minMax"/>
        </c:scaling>
        <c:delete val="1"/>
        <c:axPos val="b"/>
        <c:numFmt formatCode="0%" sourceLinked="1"/>
        <c:majorTickMark val="none"/>
        <c:minorTickMark val="none"/>
        <c:tickLblPos val="nextTo"/>
        <c:crossAx val="135985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Figure 9. Percent reporting that their workforce is more, equally, or less racially diverse than their community, by firm size</a:t>
            </a:r>
            <a:endParaRPr lang="en-US" sz="1050">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stacked"/>
        <c:varyColors val="0"/>
        <c:ser>
          <c:idx val="6"/>
          <c:order val="6"/>
          <c:tx>
            <c:strRef>
              <c:f>'Q5'!$H$17</c:f>
              <c:strCache>
                <c:ptCount val="1"/>
                <c:pt idx="0">
                  <c:v>% MORE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'Q5'!$A$18:$A$20</c:f>
              <c:strCache>
                <c:ptCount val="3"/>
                <c:pt idx="0">
                  <c:v>Small (10 to 49 employees)</c:v>
                </c:pt>
                <c:pt idx="1">
                  <c:v>Medium (50 to 249 employees)</c:v>
                </c:pt>
                <c:pt idx="2">
                  <c:v>Large (250+ employees)</c:v>
                </c:pt>
              </c:strCache>
            </c:strRef>
          </c:cat>
          <c:val>
            <c:numRef>
              <c:f>'Q5'!$H$18:$H$20</c:f>
              <c:numCache>
                <c:formatCode>0%</c:formatCode>
                <c:ptCount val="3"/>
                <c:pt idx="0">
                  <c:v>9.5940959409594101E-2</c:v>
                </c:pt>
                <c:pt idx="1">
                  <c:v>0.14957264957264957</c:v>
                </c:pt>
                <c:pt idx="2">
                  <c:v>0.18439716312056736</c:v>
                </c:pt>
              </c:numCache>
            </c:numRef>
          </c:val>
        </c:ser>
        <c:ser>
          <c:idx val="7"/>
          <c:order val="7"/>
          <c:tx>
            <c:strRef>
              <c:f>'Q5'!$I$17</c:f>
              <c:strCache>
                <c:ptCount val="1"/>
                <c:pt idx="0">
                  <c:v>% SAME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'Q5'!$A$18:$A$20</c:f>
              <c:strCache>
                <c:ptCount val="3"/>
                <c:pt idx="0">
                  <c:v>Small (10 to 49 employees)</c:v>
                </c:pt>
                <c:pt idx="1">
                  <c:v>Medium (50 to 249 employees)</c:v>
                </c:pt>
                <c:pt idx="2">
                  <c:v>Large (250+ employees)</c:v>
                </c:pt>
              </c:strCache>
            </c:strRef>
          </c:cat>
          <c:val>
            <c:numRef>
              <c:f>'Q5'!$I$18:$I$20</c:f>
              <c:numCache>
                <c:formatCode>0%</c:formatCode>
                <c:ptCount val="3"/>
                <c:pt idx="0">
                  <c:v>0.56826568265682653</c:v>
                </c:pt>
                <c:pt idx="1">
                  <c:v>0.48076923076923078</c:v>
                </c:pt>
                <c:pt idx="2">
                  <c:v>0.41134751773049644</c:v>
                </c:pt>
              </c:numCache>
            </c:numRef>
          </c:val>
        </c:ser>
        <c:ser>
          <c:idx val="8"/>
          <c:order val="8"/>
          <c:tx>
            <c:strRef>
              <c:f>'Q5'!$J$17</c:f>
              <c:strCache>
                <c:ptCount val="1"/>
                <c:pt idx="0">
                  <c:v>% LESS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'Q5'!$A$18:$A$20</c:f>
              <c:strCache>
                <c:ptCount val="3"/>
                <c:pt idx="0">
                  <c:v>Small (10 to 49 employees)</c:v>
                </c:pt>
                <c:pt idx="1">
                  <c:v>Medium (50 to 249 employees)</c:v>
                </c:pt>
                <c:pt idx="2">
                  <c:v>Large (250+ employees)</c:v>
                </c:pt>
              </c:strCache>
            </c:strRef>
          </c:cat>
          <c:val>
            <c:numRef>
              <c:f>'Q5'!$J$18:$J$20</c:f>
              <c:numCache>
                <c:formatCode>0%</c:formatCode>
                <c:ptCount val="3"/>
                <c:pt idx="0">
                  <c:v>0.22140221402214022</c:v>
                </c:pt>
                <c:pt idx="1">
                  <c:v>0.24786324786324787</c:v>
                </c:pt>
                <c:pt idx="2">
                  <c:v>0.30496453900709219</c:v>
                </c:pt>
              </c:numCache>
            </c:numRef>
          </c:val>
        </c:ser>
        <c:ser>
          <c:idx val="9"/>
          <c:order val="9"/>
          <c:tx>
            <c:strRef>
              <c:f>'Q5'!$K$17</c:f>
              <c:strCache>
                <c:ptCount val="1"/>
                <c:pt idx="0">
                  <c:v>% UNSURE</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'Q5'!$A$18:$A$20</c:f>
              <c:strCache>
                <c:ptCount val="3"/>
                <c:pt idx="0">
                  <c:v>Small (10 to 49 employees)</c:v>
                </c:pt>
                <c:pt idx="1">
                  <c:v>Medium (50 to 249 employees)</c:v>
                </c:pt>
                <c:pt idx="2">
                  <c:v>Large (250+ employees)</c:v>
                </c:pt>
              </c:strCache>
            </c:strRef>
          </c:cat>
          <c:val>
            <c:numRef>
              <c:f>'Q5'!$K$18:$K$20</c:f>
              <c:numCache>
                <c:formatCode>0%</c:formatCode>
                <c:ptCount val="3"/>
                <c:pt idx="0">
                  <c:v>0.11439114391143912</c:v>
                </c:pt>
                <c:pt idx="1">
                  <c:v>0.12179487179487179</c:v>
                </c:pt>
                <c:pt idx="2">
                  <c:v>9.9290780141843976E-2</c:v>
                </c:pt>
              </c:numCache>
            </c:numRef>
          </c:val>
        </c:ser>
        <c:dLbls>
          <c:showLegendKey val="0"/>
          <c:showVal val="0"/>
          <c:showCatName val="0"/>
          <c:showSerName val="0"/>
          <c:showPercent val="0"/>
          <c:showBubbleSize val="0"/>
        </c:dLbls>
        <c:gapWidth val="150"/>
        <c:overlap val="100"/>
        <c:axId val="136074712"/>
        <c:axId val="136355880"/>
        <c:extLst>
          <c:ext xmlns:c15="http://schemas.microsoft.com/office/drawing/2012/chart" uri="{02D57815-91ED-43cb-92C2-25804820EDAC}">
            <c15:filteredBarSeries>
              <c15:ser>
                <c:idx val="0"/>
                <c:order val="0"/>
                <c:tx>
                  <c:strRef>
                    <c:extLst>
                      <c:ext uri="{02D57815-91ED-43cb-92C2-25804820EDAC}">
                        <c15:formulaRef>
                          <c15:sqref>'Q5'!$B$17</c15:sqref>
                        </c15:formulaRef>
                      </c:ext>
                    </c:extLst>
                    <c:strCache>
                      <c:ptCount val="1"/>
                      <c:pt idx="0">
                        <c:v>My  workforce is MORE diverse</c:v>
                      </c:pt>
                    </c:strCache>
                  </c:strRef>
                </c:tx>
                <c:spPr>
                  <a:solidFill>
                    <a:schemeClr val="accent1"/>
                  </a:solidFill>
                  <a:ln>
                    <a:noFill/>
                  </a:ln>
                  <a:effectLst/>
                </c:spPr>
                <c:invertIfNegative val="0"/>
                <c:cat>
                  <c:strRef>
                    <c:extLst>
                      <c:ext uri="{02D57815-91ED-43cb-92C2-25804820EDAC}">
                        <c15:formulaRef>
                          <c15:sqref>'Q5'!$A$18:$A$20</c15:sqref>
                        </c15:formulaRef>
                      </c:ext>
                    </c:extLst>
                    <c:strCache>
                      <c:ptCount val="3"/>
                      <c:pt idx="0">
                        <c:v>Small (10 to 49 employees)</c:v>
                      </c:pt>
                      <c:pt idx="1">
                        <c:v>Medium (50 to 249 employees)</c:v>
                      </c:pt>
                      <c:pt idx="2">
                        <c:v>Large (250+ employees)</c:v>
                      </c:pt>
                    </c:strCache>
                  </c:strRef>
                </c:cat>
                <c:val>
                  <c:numRef>
                    <c:extLst>
                      <c:ext uri="{02D57815-91ED-43cb-92C2-25804820EDAC}">
                        <c15:formulaRef>
                          <c15:sqref>'Q5'!$B$18:$B$20</c15:sqref>
                        </c15:formulaRef>
                      </c:ext>
                    </c:extLst>
                    <c:numCache>
                      <c:formatCode>General</c:formatCode>
                      <c:ptCount val="3"/>
                      <c:pt idx="0">
                        <c:v>26</c:v>
                      </c:pt>
                      <c:pt idx="1">
                        <c:v>70</c:v>
                      </c:pt>
                      <c:pt idx="2">
                        <c:v>52</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'Q5'!$C$17</c15:sqref>
                        </c15:formulaRef>
                      </c:ext>
                    </c:extLst>
                    <c:strCache>
                      <c:ptCount val="1"/>
                      <c:pt idx="0">
                        <c:v>We're about the SAME</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'Q5'!$A$18:$A$20</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'Q5'!$C$18:$C$20</c15:sqref>
                        </c15:formulaRef>
                      </c:ext>
                    </c:extLst>
                    <c:numCache>
                      <c:formatCode>General</c:formatCode>
                      <c:ptCount val="3"/>
                      <c:pt idx="0">
                        <c:v>154</c:v>
                      </c:pt>
                      <c:pt idx="1">
                        <c:v>225</c:v>
                      </c:pt>
                      <c:pt idx="2">
                        <c:v>116</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'Q5'!$D$17</c15:sqref>
                        </c15:formulaRef>
                      </c:ext>
                    </c:extLst>
                    <c:strCache>
                      <c:ptCount val="1"/>
                      <c:pt idx="0">
                        <c:v>My workforce is LESS diverse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'Q5'!$A$18:$A$20</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'Q5'!$D$18:$D$20</c15:sqref>
                        </c15:formulaRef>
                      </c:ext>
                    </c:extLst>
                    <c:numCache>
                      <c:formatCode>General</c:formatCode>
                      <c:ptCount val="3"/>
                      <c:pt idx="0">
                        <c:v>60</c:v>
                      </c:pt>
                      <c:pt idx="1">
                        <c:v>116</c:v>
                      </c:pt>
                      <c:pt idx="2">
                        <c:v>86</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'Q5'!$E$17</c15:sqref>
                        </c15:formulaRef>
                      </c:ext>
                    </c:extLst>
                    <c:strCache>
                      <c:ptCount val="1"/>
                      <c:pt idx="0">
                        <c:v>Unsure/ don't know</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'Q5'!$A$18:$A$20</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'Q5'!$E$18:$E$20</c15:sqref>
                        </c15:formulaRef>
                      </c:ext>
                    </c:extLst>
                    <c:numCache>
                      <c:formatCode>General</c:formatCode>
                      <c:ptCount val="3"/>
                      <c:pt idx="0">
                        <c:v>31</c:v>
                      </c:pt>
                      <c:pt idx="1">
                        <c:v>57</c:v>
                      </c:pt>
                      <c:pt idx="2">
                        <c:v>28</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'Q5'!$F$17</c15:sqref>
                        </c15:formulaRef>
                      </c:ext>
                    </c:extLst>
                    <c:strCache>
                      <c:ptCount val="1"/>
                      <c:pt idx="0">
                        <c:v>&lt;NA&gt;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'Q5'!$A$18:$A$20</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'Q5'!$F$18:$F$20</c15:sqref>
                        </c15:formulaRef>
                      </c:ext>
                    </c:extLst>
                    <c:numCache>
                      <c:formatCode>General</c:formatCode>
                      <c:ptCount val="3"/>
                      <c:pt idx="0">
                        <c:v>8</c:v>
                      </c:pt>
                      <c:pt idx="1">
                        <c:v>13</c:v>
                      </c:pt>
                      <c:pt idx="2">
                        <c:v>7</c:v>
                      </c:pt>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'Q5'!$G$17</c15:sqref>
                        </c15:formulaRef>
                      </c:ext>
                    </c:extLst>
                    <c:strCache>
                      <c:ptCount val="1"/>
                      <c:pt idx="0">
                        <c:v>N responded</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'Q5'!$A$18:$A$20</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'Q5'!$G$18:$G$20</c15:sqref>
                        </c15:formulaRef>
                      </c:ext>
                    </c:extLst>
                    <c:numCache>
                      <c:formatCode>General</c:formatCode>
                      <c:ptCount val="3"/>
                      <c:pt idx="0">
                        <c:v>271</c:v>
                      </c:pt>
                      <c:pt idx="1">
                        <c:v>468</c:v>
                      </c:pt>
                      <c:pt idx="2">
                        <c:v>282</c:v>
                      </c:pt>
                    </c:numCache>
                  </c:numRef>
                </c:val>
              </c15:ser>
            </c15:filteredBarSeries>
          </c:ext>
        </c:extLst>
      </c:barChart>
      <c:catAx>
        <c:axId val="136074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55880"/>
        <c:crosses val="autoZero"/>
        <c:auto val="1"/>
        <c:lblAlgn val="ctr"/>
        <c:lblOffset val="100"/>
        <c:noMultiLvlLbl val="0"/>
      </c:catAx>
      <c:valAx>
        <c:axId val="136355880"/>
        <c:scaling>
          <c:orientation val="minMax"/>
          <c:max val="1"/>
        </c:scaling>
        <c:delete val="1"/>
        <c:axPos val="b"/>
        <c:numFmt formatCode="0%" sourceLinked="1"/>
        <c:majorTickMark val="none"/>
        <c:minorTickMark val="none"/>
        <c:tickLblPos val="nextTo"/>
        <c:crossAx val="136074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8. Percent</a:t>
            </a:r>
            <a:r>
              <a:rPr lang="en-US" sz="1200" baseline="0"/>
              <a:t> reporting their workforce is diverse, according to their own definition, by firm size</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5"/>
          <c:order val="5"/>
          <c:tx>
            <c:strRef>
              <c:f>'Q2'!$G$13</c:f>
              <c:strCache>
                <c:ptCount val="1"/>
                <c:pt idx="0">
                  <c:v>% 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'Q2'!$A$14:$A$16</c:f>
              <c:strCache>
                <c:ptCount val="3"/>
                <c:pt idx="0">
                  <c:v>Small (10 to 49 employees)</c:v>
                </c:pt>
                <c:pt idx="1">
                  <c:v>Medium (50 to 249 employees)</c:v>
                </c:pt>
                <c:pt idx="2">
                  <c:v>Large (250+ employees)</c:v>
                </c:pt>
              </c:strCache>
            </c:strRef>
          </c:cat>
          <c:val>
            <c:numRef>
              <c:f>'Q2'!$G$14:$G$16</c:f>
              <c:numCache>
                <c:formatCode>0%</c:formatCode>
                <c:ptCount val="3"/>
                <c:pt idx="0">
                  <c:v>0.6058394160583942</c:v>
                </c:pt>
                <c:pt idx="1">
                  <c:v>0.74207188160676529</c:v>
                </c:pt>
                <c:pt idx="2">
                  <c:v>0.74736842105263157</c:v>
                </c:pt>
              </c:numCache>
            </c:numRef>
          </c:val>
        </c:ser>
        <c:dLbls>
          <c:showLegendKey val="0"/>
          <c:showVal val="0"/>
          <c:showCatName val="0"/>
          <c:showSerName val="0"/>
          <c:showPercent val="0"/>
          <c:showBubbleSize val="0"/>
        </c:dLbls>
        <c:gapWidth val="182"/>
        <c:axId val="134615744"/>
        <c:axId val="134616136"/>
        <c:extLst>
          <c:ext xmlns:c15="http://schemas.microsoft.com/office/drawing/2012/chart" uri="{02D57815-91ED-43cb-92C2-25804820EDAC}">
            <c15:filteredBarSeries>
              <c15:ser>
                <c:idx val="0"/>
                <c:order val="0"/>
                <c:tx>
                  <c:strRef>
                    <c:extLst>
                      <c:ext uri="{02D57815-91ED-43cb-92C2-25804820EDAC}">
                        <c15:formulaRef>
                          <c15:sqref>'Q2'!$B$13</c15:sqref>
                        </c15:formulaRef>
                      </c:ext>
                    </c:extLst>
                    <c:strCache>
                      <c:ptCount val="1"/>
                      <c:pt idx="0">
                        <c:v>Yes</c:v>
                      </c:pt>
                    </c:strCache>
                  </c:strRef>
                </c:tx>
                <c:spPr>
                  <a:solidFill>
                    <a:schemeClr val="accent1"/>
                  </a:solidFill>
                  <a:ln>
                    <a:noFill/>
                  </a:ln>
                  <a:effectLst/>
                </c:spPr>
                <c:invertIfNegative val="0"/>
                <c:cat>
                  <c:strRef>
                    <c:extLst>
                      <c:ext uri="{02D57815-91ED-43cb-92C2-25804820EDAC}">
                        <c15:formulaRef>
                          <c15:sqref>'Q2'!$A$14:$A$16</c15:sqref>
                        </c15:formulaRef>
                      </c:ext>
                    </c:extLst>
                    <c:strCache>
                      <c:ptCount val="3"/>
                      <c:pt idx="0">
                        <c:v>Small (10 to 49 employees)</c:v>
                      </c:pt>
                      <c:pt idx="1">
                        <c:v>Medium (50 to 249 employees)</c:v>
                      </c:pt>
                      <c:pt idx="2">
                        <c:v>Large (250+ employees)</c:v>
                      </c:pt>
                    </c:strCache>
                  </c:strRef>
                </c:cat>
                <c:val>
                  <c:numRef>
                    <c:extLst>
                      <c:ext uri="{02D57815-91ED-43cb-92C2-25804820EDAC}">
                        <c15:formulaRef>
                          <c15:sqref>'Q2'!$B$14:$B$16</c15:sqref>
                        </c15:formulaRef>
                      </c:ext>
                    </c:extLst>
                    <c:numCache>
                      <c:formatCode>#,##0</c:formatCode>
                      <c:ptCount val="3"/>
                      <c:pt idx="0">
                        <c:v>166</c:v>
                      </c:pt>
                      <c:pt idx="1">
                        <c:v>351</c:v>
                      </c:pt>
                      <c:pt idx="2">
                        <c:v>213</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'Q2'!$C$13</c15:sqref>
                        </c15:formulaRef>
                      </c:ext>
                    </c:extLst>
                    <c:strCache>
                      <c:ptCount val="1"/>
                      <c:pt idx="0">
                        <c:v>No</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'Q2'!$A$14:$A$16</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'Q2'!$C$14:$C$16</c15:sqref>
                        </c15:formulaRef>
                      </c:ext>
                    </c:extLst>
                    <c:numCache>
                      <c:formatCode>#,##0</c:formatCode>
                      <c:ptCount val="3"/>
                      <c:pt idx="0">
                        <c:v>70</c:v>
                      </c:pt>
                      <c:pt idx="1">
                        <c:v>98</c:v>
                      </c:pt>
                      <c:pt idx="2">
                        <c:v>60</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'Q2'!$D$13</c15:sqref>
                        </c15:formulaRef>
                      </c:ext>
                    </c:extLst>
                    <c:strCache>
                      <c:ptCount val="1"/>
                      <c:pt idx="0">
                        <c:v>Unsure/don't know</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'Q2'!$A$14:$A$16</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'Q2'!$D$14:$D$16</c15:sqref>
                        </c15:formulaRef>
                      </c:ext>
                    </c:extLst>
                    <c:numCache>
                      <c:formatCode>#,##0</c:formatCode>
                      <c:ptCount val="3"/>
                      <c:pt idx="0">
                        <c:v>38</c:v>
                      </c:pt>
                      <c:pt idx="1">
                        <c:v>24</c:v>
                      </c:pt>
                      <c:pt idx="2">
                        <c:v>12</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'Q2'!$E$13</c15:sqref>
                        </c15:formulaRef>
                      </c:ext>
                    </c:extLst>
                    <c:strCache>
                      <c:ptCount val="1"/>
                      <c:pt idx="0">
                        <c:v>N responded</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'Q2'!$A$14:$A$16</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'Q2'!$E$14:$E$16</c15:sqref>
                        </c15:formulaRef>
                      </c:ext>
                    </c:extLst>
                    <c:numCache>
                      <c:formatCode>#,##0</c:formatCode>
                      <c:ptCount val="3"/>
                      <c:pt idx="0">
                        <c:v>274</c:v>
                      </c:pt>
                      <c:pt idx="1">
                        <c:v>473</c:v>
                      </c:pt>
                      <c:pt idx="2">
                        <c:v>285</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'Q2'!$F$13</c15:sqref>
                        </c15:formulaRef>
                      </c:ext>
                    </c:extLst>
                    <c:strCache>
                      <c:ptCount val="1"/>
                      <c:pt idx="0">
                        <c:v>&lt;NA&gt;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'Q2'!$A$14:$A$16</c15:sqref>
                        </c15:formulaRef>
                      </c:ext>
                    </c:extLst>
                    <c:strCache>
                      <c:ptCount val="3"/>
                      <c:pt idx="0">
                        <c:v>Small (10 to 49 employees)</c:v>
                      </c:pt>
                      <c:pt idx="1">
                        <c:v>Medium (50 to 249 employees)</c:v>
                      </c:pt>
                      <c:pt idx="2">
                        <c:v>Large (250+ employees)</c:v>
                      </c:pt>
                    </c:strCache>
                  </c:strRef>
                </c:cat>
                <c:val>
                  <c:numRef>
                    <c:extLst xmlns:c15="http://schemas.microsoft.com/office/drawing/2012/chart">
                      <c:ext xmlns:c15="http://schemas.microsoft.com/office/drawing/2012/chart" uri="{02D57815-91ED-43cb-92C2-25804820EDAC}">
                        <c15:formulaRef>
                          <c15:sqref>'Q2'!$F$14:$F$16</c15:sqref>
                        </c15:formulaRef>
                      </c:ext>
                    </c:extLst>
                    <c:numCache>
                      <c:formatCode>#,##0</c:formatCode>
                      <c:ptCount val="3"/>
                      <c:pt idx="0">
                        <c:v>5</c:v>
                      </c:pt>
                      <c:pt idx="1">
                        <c:v>8</c:v>
                      </c:pt>
                      <c:pt idx="2">
                        <c:v>4</c:v>
                      </c:pt>
                    </c:numCache>
                  </c:numRef>
                </c:val>
              </c15:ser>
            </c15:filteredBarSeries>
          </c:ext>
        </c:extLst>
      </c:barChart>
      <c:catAx>
        <c:axId val="134615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16136"/>
        <c:crosses val="autoZero"/>
        <c:auto val="1"/>
        <c:lblAlgn val="ctr"/>
        <c:lblOffset val="100"/>
        <c:noMultiLvlLbl val="0"/>
      </c:catAx>
      <c:valAx>
        <c:axId val="134616136"/>
        <c:scaling>
          <c:orientation val="minMax"/>
          <c:max val="1"/>
        </c:scaling>
        <c:delete val="1"/>
        <c:axPos val="b"/>
        <c:numFmt formatCode="0%" sourceLinked="1"/>
        <c:majorTickMark val="none"/>
        <c:minorTickMark val="none"/>
        <c:tickLblPos val="nextTo"/>
        <c:crossAx val="13461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11. Percent reporting that their</a:t>
            </a:r>
            <a:r>
              <a:rPr lang="en-US" sz="1200" baseline="0"/>
              <a:t> workforce is diverse according to their stated definition, by industry</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5"/>
          <c:order val="5"/>
          <c:tx>
            <c:strRef>
              <c:f>'Q2'!$G$41</c:f>
              <c:strCache>
                <c:ptCount val="1"/>
                <c:pt idx="0">
                  <c:v>% 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'Q2'!$A$42:$A$52</c:f>
              <c:strCache>
                <c:ptCount val="11"/>
                <c:pt idx="0">
                  <c:v>Education Services</c:v>
                </c:pt>
                <c:pt idx="1">
                  <c:v>Government</c:v>
                </c:pt>
                <c:pt idx="2">
                  <c:v>Natural Resources and Mining</c:v>
                </c:pt>
                <c:pt idx="3">
                  <c:v>Trade, Transportation, and Utilities</c:v>
                </c:pt>
                <c:pt idx="4">
                  <c:v>Other Services</c:v>
                </c:pt>
                <c:pt idx="5">
                  <c:v>Construction</c:v>
                </c:pt>
                <c:pt idx="6">
                  <c:v>Professional and Business Services</c:v>
                </c:pt>
                <c:pt idx="7">
                  <c:v>Financial Activities</c:v>
                </c:pt>
                <c:pt idx="8">
                  <c:v>Manufacturing</c:v>
                </c:pt>
                <c:pt idx="9">
                  <c:v>Leisure and Hospitality</c:v>
                </c:pt>
                <c:pt idx="10">
                  <c:v>Health Services</c:v>
                </c:pt>
              </c:strCache>
            </c:strRef>
          </c:cat>
          <c:val>
            <c:numRef>
              <c:f>'Q2'!$G$42:$G$52</c:f>
              <c:numCache>
                <c:formatCode>0%</c:formatCode>
                <c:ptCount val="11"/>
                <c:pt idx="0">
                  <c:v>0.48958333333333331</c:v>
                </c:pt>
                <c:pt idx="1">
                  <c:v>0.4942528735632184</c:v>
                </c:pt>
                <c:pt idx="2">
                  <c:v>0.58333333333333337</c:v>
                </c:pt>
                <c:pt idx="3">
                  <c:v>0.72368421052631582</c:v>
                </c:pt>
                <c:pt idx="4">
                  <c:v>0.72916666666666663</c:v>
                </c:pt>
                <c:pt idx="5">
                  <c:v>0.73333333333333328</c:v>
                </c:pt>
                <c:pt idx="6">
                  <c:v>0.76146788990825687</c:v>
                </c:pt>
                <c:pt idx="7">
                  <c:v>0.76363636363636367</c:v>
                </c:pt>
                <c:pt idx="8">
                  <c:v>0.76470588235294112</c:v>
                </c:pt>
                <c:pt idx="9">
                  <c:v>0.78448275862068961</c:v>
                </c:pt>
                <c:pt idx="10">
                  <c:v>0.7921348314606742</c:v>
                </c:pt>
              </c:numCache>
            </c:numRef>
          </c:val>
        </c:ser>
        <c:dLbls>
          <c:showLegendKey val="0"/>
          <c:showVal val="0"/>
          <c:showCatName val="0"/>
          <c:showSerName val="0"/>
          <c:showPercent val="0"/>
          <c:showBubbleSize val="0"/>
        </c:dLbls>
        <c:gapWidth val="182"/>
        <c:axId val="136513632"/>
        <c:axId val="136514024"/>
        <c:extLst>
          <c:ext xmlns:c15="http://schemas.microsoft.com/office/drawing/2012/chart" uri="{02D57815-91ED-43cb-92C2-25804820EDAC}">
            <c15:filteredBarSeries>
              <c15:ser>
                <c:idx val="0"/>
                <c:order val="0"/>
                <c:tx>
                  <c:strRef>
                    <c:extLst>
                      <c:ext uri="{02D57815-91ED-43cb-92C2-25804820EDAC}">
                        <c15:formulaRef>
                          <c15:sqref>'Q2'!$B$41</c15:sqref>
                        </c15:formulaRef>
                      </c:ext>
                    </c:extLst>
                    <c:strCache>
                      <c:ptCount val="1"/>
                      <c:pt idx="0">
                        <c:v>Yes</c:v>
                      </c:pt>
                    </c:strCache>
                  </c:strRef>
                </c:tx>
                <c:spPr>
                  <a:solidFill>
                    <a:schemeClr val="accent1"/>
                  </a:solidFill>
                  <a:ln>
                    <a:noFill/>
                  </a:ln>
                  <a:effectLst/>
                </c:spPr>
                <c:invertIfNegative val="0"/>
                <c:cat>
                  <c:strRef>
                    <c:extLst>
                      <c:ext uri="{02D57815-91ED-43cb-92C2-25804820EDAC}">
                        <c15:formulaRef>
                          <c15:sqref>'Q2'!$A$42:$A$52</c15:sqref>
                        </c15:formulaRef>
                      </c:ext>
                    </c:extLst>
                    <c:strCache>
                      <c:ptCount val="11"/>
                      <c:pt idx="0">
                        <c:v>Education Services</c:v>
                      </c:pt>
                      <c:pt idx="1">
                        <c:v>Government</c:v>
                      </c:pt>
                      <c:pt idx="2">
                        <c:v>Natural Resources and Mining</c:v>
                      </c:pt>
                      <c:pt idx="3">
                        <c:v>Trade, Transportation, and Utilities</c:v>
                      </c:pt>
                      <c:pt idx="4">
                        <c:v>Other Services</c:v>
                      </c:pt>
                      <c:pt idx="5">
                        <c:v>Construction</c:v>
                      </c:pt>
                      <c:pt idx="6">
                        <c:v>Professional and Business Services</c:v>
                      </c:pt>
                      <c:pt idx="7">
                        <c:v>Financial Activities</c:v>
                      </c:pt>
                      <c:pt idx="8">
                        <c:v>Manufacturing</c:v>
                      </c:pt>
                      <c:pt idx="9">
                        <c:v>Leisure and Hospitality</c:v>
                      </c:pt>
                      <c:pt idx="10">
                        <c:v>Health Services</c:v>
                      </c:pt>
                    </c:strCache>
                  </c:strRef>
                </c:cat>
                <c:val>
                  <c:numRef>
                    <c:extLst>
                      <c:ext uri="{02D57815-91ED-43cb-92C2-25804820EDAC}">
                        <c15:formulaRef>
                          <c15:sqref>'Q2'!$B$42:$B$52</c15:sqref>
                        </c15:formulaRef>
                      </c:ext>
                    </c:extLst>
                    <c:numCache>
                      <c:formatCode>General</c:formatCode>
                      <c:ptCount val="11"/>
                      <c:pt idx="0">
                        <c:v>47</c:v>
                      </c:pt>
                      <c:pt idx="1">
                        <c:v>43</c:v>
                      </c:pt>
                      <c:pt idx="2">
                        <c:v>21</c:v>
                      </c:pt>
                      <c:pt idx="3">
                        <c:v>110</c:v>
                      </c:pt>
                      <c:pt idx="4">
                        <c:v>35</c:v>
                      </c:pt>
                      <c:pt idx="5">
                        <c:v>33</c:v>
                      </c:pt>
                      <c:pt idx="6">
                        <c:v>83</c:v>
                      </c:pt>
                      <c:pt idx="7">
                        <c:v>42</c:v>
                      </c:pt>
                      <c:pt idx="8">
                        <c:v>65</c:v>
                      </c:pt>
                      <c:pt idx="9">
                        <c:v>91</c:v>
                      </c:pt>
                      <c:pt idx="10">
                        <c:v>141</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'Q2'!$C$41</c15:sqref>
                        </c15:formulaRef>
                      </c:ext>
                    </c:extLst>
                    <c:strCache>
                      <c:ptCount val="1"/>
                      <c:pt idx="0">
                        <c:v>No</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'Q2'!$A$42:$A$52</c15:sqref>
                        </c15:formulaRef>
                      </c:ext>
                    </c:extLst>
                    <c:strCache>
                      <c:ptCount val="11"/>
                      <c:pt idx="0">
                        <c:v>Education Services</c:v>
                      </c:pt>
                      <c:pt idx="1">
                        <c:v>Government</c:v>
                      </c:pt>
                      <c:pt idx="2">
                        <c:v>Natural Resources and Mining</c:v>
                      </c:pt>
                      <c:pt idx="3">
                        <c:v>Trade, Transportation, and Utilities</c:v>
                      </c:pt>
                      <c:pt idx="4">
                        <c:v>Other Services</c:v>
                      </c:pt>
                      <c:pt idx="5">
                        <c:v>Construction</c:v>
                      </c:pt>
                      <c:pt idx="6">
                        <c:v>Professional and Business Services</c:v>
                      </c:pt>
                      <c:pt idx="7">
                        <c:v>Financial Activities</c:v>
                      </c:pt>
                      <c:pt idx="8">
                        <c:v>Manufacturing</c:v>
                      </c:pt>
                      <c:pt idx="9">
                        <c:v>Leisure and Hospitality</c:v>
                      </c:pt>
                      <c:pt idx="10">
                        <c:v>Health Services</c:v>
                      </c:pt>
                    </c:strCache>
                  </c:strRef>
                </c:cat>
                <c:val>
                  <c:numRef>
                    <c:extLst xmlns:c15="http://schemas.microsoft.com/office/drawing/2012/chart">
                      <c:ext xmlns:c15="http://schemas.microsoft.com/office/drawing/2012/chart" uri="{02D57815-91ED-43cb-92C2-25804820EDAC}">
                        <c15:formulaRef>
                          <c15:sqref>'Q2'!$C$42:$C$52</c15:sqref>
                        </c15:formulaRef>
                      </c:ext>
                    </c:extLst>
                    <c:numCache>
                      <c:formatCode>General</c:formatCode>
                      <c:ptCount val="11"/>
                      <c:pt idx="0">
                        <c:v>39</c:v>
                      </c:pt>
                      <c:pt idx="1">
                        <c:v>38</c:v>
                      </c:pt>
                      <c:pt idx="2">
                        <c:v>6</c:v>
                      </c:pt>
                      <c:pt idx="3">
                        <c:v>29</c:v>
                      </c:pt>
                      <c:pt idx="4">
                        <c:v>11</c:v>
                      </c:pt>
                      <c:pt idx="5">
                        <c:v>11</c:v>
                      </c:pt>
                      <c:pt idx="6">
                        <c:v>19</c:v>
                      </c:pt>
                      <c:pt idx="7">
                        <c:v>10</c:v>
                      </c:pt>
                      <c:pt idx="8">
                        <c:v>16</c:v>
                      </c:pt>
                      <c:pt idx="9">
                        <c:v>16</c:v>
                      </c:pt>
                      <c:pt idx="10">
                        <c:v>28</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'Q2'!$D$41</c15:sqref>
                        </c15:formulaRef>
                      </c:ext>
                    </c:extLst>
                    <c:strCache>
                      <c:ptCount val="1"/>
                      <c:pt idx="0">
                        <c:v>Unsure/don't know</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'Q2'!$A$42:$A$52</c15:sqref>
                        </c15:formulaRef>
                      </c:ext>
                    </c:extLst>
                    <c:strCache>
                      <c:ptCount val="11"/>
                      <c:pt idx="0">
                        <c:v>Education Services</c:v>
                      </c:pt>
                      <c:pt idx="1">
                        <c:v>Government</c:v>
                      </c:pt>
                      <c:pt idx="2">
                        <c:v>Natural Resources and Mining</c:v>
                      </c:pt>
                      <c:pt idx="3">
                        <c:v>Trade, Transportation, and Utilities</c:v>
                      </c:pt>
                      <c:pt idx="4">
                        <c:v>Other Services</c:v>
                      </c:pt>
                      <c:pt idx="5">
                        <c:v>Construction</c:v>
                      </c:pt>
                      <c:pt idx="6">
                        <c:v>Professional and Business Services</c:v>
                      </c:pt>
                      <c:pt idx="7">
                        <c:v>Financial Activities</c:v>
                      </c:pt>
                      <c:pt idx="8">
                        <c:v>Manufacturing</c:v>
                      </c:pt>
                      <c:pt idx="9">
                        <c:v>Leisure and Hospitality</c:v>
                      </c:pt>
                      <c:pt idx="10">
                        <c:v>Health Services</c:v>
                      </c:pt>
                    </c:strCache>
                  </c:strRef>
                </c:cat>
                <c:val>
                  <c:numRef>
                    <c:extLst xmlns:c15="http://schemas.microsoft.com/office/drawing/2012/chart">
                      <c:ext xmlns:c15="http://schemas.microsoft.com/office/drawing/2012/chart" uri="{02D57815-91ED-43cb-92C2-25804820EDAC}">
                        <c15:formulaRef>
                          <c15:sqref>'Q2'!$D$42:$D$52</c15:sqref>
                        </c15:formulaRef>
                      </c:ext>
                    </c:extLst>
                    <c:numCache>
                      <c:formatCode>General</c:formatCode>
                      <c:ptCount val="11"/>
                      <c:pt idx="0">
                        <c:v>10</c:v>
                      </c:pt>
                      <c:pt idx="1">
                        <c:v>6</c:v>
                      </c:pt>
                      <c:pt idx="2">
                        <c:v>9</c:v>
                      </c:pt>
                      <c:pt idx="3">
                        <c:v>13</c:v>
                      </c:pt>
                      <c:pt idx="4">
                        <c:v>2</c:v>
                      </c:pt>
                      <c:pt idx="5">
                        <c:v>1</c:v>
                      </c:pt>
                      <c:pt idx="6">
                        <c:v>7</c:v>
                      </c:pt>
                      <c:pt idx="7">
                        <c:v>3</c:v>
                      </c:pt>
                      <c:pt idx="8">
                        <c:v>4</c:v>
                      </c:pt>
                      <c:pt idx="9">
                        <c:v>9</c:v>
                      </c:pt>
                      <c:pt idx="10">
                        <c:v>9</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'Q2'!$E$41</c15:sqref>
                        </c15:formulaRef>
                      </c:ext>
                    </c:extLst>
                    <c:strCache>
                      <c:ptCount val="1"/>
                      <c:pt idx="0">
                        <c:v>N responded</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'Q2'!$A$42:$A$52</c15:sqref>
                        </c15:formulaRef>
                      </c:ext>
                    </c:extLst>
                    <c:strCache>
                      <c:ptCount val="11"/>
                      <c:pt idx="0">
                        <c:v>Education Services</c:v>
                      </c:pt>
                      <c:pt idx="1">
                        <c:v>Government</c:v>
                      </c:pt>
                      <c:pt idx="2">
                        <c:v>Natural Resources and Mining</c:v>
                      </c:pt>
                      <c:pt idx="3">
                        <c:v>Trade, Transportation, and Utilities</c:v>
                      </c:pt>
                      <c:pt idx="4">
                        <c:v>Other Services</c:v>
                      </c:pt>
                      <c:pt idx="5">
                        <c:v>Construction</c:v>
                      </c:pt>
                      <c:pt idx="6">
                        <c:v>Professional and Business Services</c:v>
                      </c:pt>
                      <c:pt idx="7">
                        <c:v>Financial Activities</c:v>
                      </c:pt>
                      <c:pt idx="8">
                        <c:v>Manufacturing</c:v>
                      </c:pt>
                      <c:pt idx="9">
                        <c:v>Leisure and Hospitality</c:v>
                      </c:pt>
                      <c:pt idx="10">
                        <c:v>Health Services</c:v>
                      </c:pt>
                    </c:strCache>
                  </c:strRef>
                </c:cat>
                <c:val>
                  <c:numRef>
                    <c:extLst xmlns:c15="http://schemas.microsoft.com/office/drawing/2012/chart">
                      <c:ext xmlns:c15="http://schemas.microsoft.com/office/drawing/2012/chart" uri="{02D57815-91ED-43cb-92C2-25804820EDAC}">
                        <c15:formulaRef>
                          <c15:sqref>'Q2'!$E$42:$E$52</c15:sqref>
                        </c15:formulaRef>
                      </c:ext>
                    </c:extLst>
                    <c:numCache>
                      <c:formatCode>#,##0</c:formatCode>
                      <c:ptCount val="11"/>
                      <c:pt idx="0">
                        <c:v>96</c:v>
                      </c:pt>
                      <c:pt idx="1">
                        <c:v>87</c:v>
                      </c:pt>
                      <c:pt idx="2">
                        <c:v>36</c:v>
                      </c:pt>
                      <c:pt idx="3">
                        <c:v>152</c:v>
                      </c:pt>
                      <c:pt idx="4">
                        <c:v>48</c:v>
                      </c:pt>
                      <c:pt idx="5">
                        <c:v>45</c:v>
                      </c:pt>
                      <c:pt idx="6">
                        <c:v>109</c:v>
                      </c:pt>
                      <c:pt idx="7">
                        <c:v>55</c:v>
                      </c:pt>
                      <c:pt idx="8">
                        <c:v>85</c:v>
                      </c:pt>
                      <c:pt idx="9">
                        <c:v>116</c:v>
                      </c:pt>
                      <c:pt idx="10">
                        <c:v>178</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'Q2'!$F$41</c15:sqref>
                        </c15:formulaRef>
                      </c:ext>
                    </c:extLst>
                    <c:strCache>
                      <c:ptCount val="1"/>
                      <c:pt idx="0">
                        <c:v>&lt;NA&gt;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'Q2'!$A$42:$A$52</c15:sqref>
                        </c15:formulaRef>
                      </c:ext>
                    </c:extLst>
                    <c:strCache>
                      <c:ptCount val="11"/>
                      <c:pt idx="0">
                        <c:v>Education Services</c:v>
                      </c:pt>
                      <c:pt idx="1">
                        <c:v>Government</c:v>
                      </c:pt>
                      <c:pt idx="2">
                        <c:v>Natural Resources and Mining</c:v>
                      </c:pt>
                      <c:pt idx="3">
                        <c:v>Trade, Transportation, and Utilities</c:v>
                      </c:pt>
                      <c:pt idx="4">
                        <c:v>Other Services</c:v>
                      </c:pt>
                      <c:pt idx="5">
                        <c:v>Construction</c:v>
                      </c:pt>
                      <c:pt idx="6">
                        <c:v>Professional and Business Services</c:v>
                      </c:pt>
                      <c:pt idx="7">
                        <c:v>Financial Activities</c:v>
                      </c:pt>
                      <c:pt idx="8">
                        <c:v>Manufacturing</c:v>
                      </c:pt>
                      <c:pt idx="9">
                        <c:v>Leisure and Hospitality</c:v>
                      </c:pt>
                      <c:pt idx="10">
                        <c:v>Health Services</c:v>
                      </c:pt>
                    </c:strCache>
                  </c:strRef>
                </c:cat>
                <c:val>
                  <c:numRef>
                    <c:extLst xmlns:c15="http://schemas.microsoft.com/office/drawing/2012/chart">
                      <c:ext xmlns:c15="http://schemas.microsoft.com/office/drawing/2012/chart" uri="{02D57815-91ED-43cb-92C2-25804820EDAC}">
                        <c15:formulaRef>
                          <c15:sqref>'Q2'!$F$42:$F$52</c15:sqref>
                        </c15:formulaRef>
                      </c:ext>
                    </c:extLst>
                    <c:numCache>
                      <c:formatCode>General</c:formatCode>
                      <c:ptCount val="11"/>
                      <c:pt idx="0">
                        <c:v>2</c:v>
                      </c:pt>
                      <c:pt idx="1">
                        <c:v>2</c:v>
                      </c:pt>
                      <c:pt idx="2">
                        <c:v>2</c:v>
                      </c:pt>
                      <c:pt idx="3">
                        <c:v>2</c:v>
                      </c:pt>
                      <c:pt idx="4">
                        <c:v>1</c:v>
                      </c:pt>
                      <c:pt idx="5">
                        <c:v>0</c:v>
                      </c:pt>
                      <c:pt idx="6">
                        <c:v>2</c:v>
                      </c:pt>
                      <c:pt idx="7">
                        <c:v>1</c:v>
                      </c:pt>
                      <c:pt idx="8">
                        <c:v>1</c:v>
                      </c:pt>
                      <c:pt idx="9">
                        <c:v>1</c:v>
                      </c:pt>
                      <c:pt idx="10">
                        <c:v>3</c:v>
                      </c:pt>
                    </c:numCache>
                  </c:numRef>
                </c:val>
              </c15:ser>
            </c15:filteredBarSeries>
          </c:ext>
        </c:extLst>
      </c:barChart>
      <c:catAx>
        <c:axId val="13651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14024"/>
        <c:crosses val="autoZero"/>
        <c:auto val="1"/>
        <c:lblAlgn val="ctr"/>
        <c:lblOffset val="100"/>
        <c:noMultiLvlLbl val="0"/>
      </c:catAx>
      <c:valAx>
        <c:axId val="136514024"/>
        <c:scaling>
          <c:orientation val="minMax"/>
          <c:max val="1"/>
        </c:scaling>
        <c:delete val="1"/>
        <c:axPos val="b"/>
        <c:numFmt formatCode="0%" sourceLinked="1"/>
        <c:majorTickMark val="none"/>
        <c:minorTickMark val="none"/>
        <c:tickLblPos val="nextTo"/>
        <c:crossAx val="13651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10. Percent of workforce in Minnesota that identifies as a race or ethnicity other than white,</a:t>
            </a:r>
            <a:r>
              <a:rPr lang="en-US" sz="1200" baseline="0"/>
              <a:t> non-Hispanic, by industry</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Employment!$C$37</c:f>
              <c:strCache>
                <c:ptCount val="1"/>
                <c:pt idx="0">
                  <c:v>Percent POC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Employment!$B$38:$B$48</c:f>
              <c:strCache>
                <c:ptCount val="11"/>
                <c:pt idx="0">
                  <c:v>Construction</c:v>
                </c:pt>
                <c:pt idx="1">
                  <c:v>Education Services</c:v>
                </c:pt>
                <c:pt idx="2">
                  <c:v>Financial Activities</c:v>
                </c:pt>
                <c:pt idx="3">
                  <c:v>Trade, Transportation, and Utilities</c:v>
                </c:pt>
                <c:pt idx="4">
                  <c:v>Government</c:v>
                </c:pt>
                <c:pt idx="5">
                  <c:v>Other Services</c:v>
                </c:pt>
                <c:pt idx="6">
                  <c:v>Natural Resources and Mining</c:v>
                </c:pt>
                <c:pt idx="7">
                  <c:v>Professional and Business Services</c:v>
                </c:pt>
                <c:pt idx="8">
                  <c:v>Manufacturing</c:v>
                </c:pt>
                <c:pt idx="9">
                  <c:v>Health Services</c:v>
                </c:pt>
                <c:pt idx="10">
                  <c:v>Leisure and Hospitality</c:v>
                </c:pt>
              </c:strCache>
            </c:strRef>
          </c:cat>
          <c:val>
            <c:numRef>
              <c:f>Employment!$C$38:$C$48</c:f>
              <c:numCache>
                <c:formatCode>0%</c:formatCode>
                <c:ptCount val="11"/>
                <c:pt idx="0">
                  <c:v>7.9907415796973719E-2</c:v>
                </c:pt>
                <c:pt idx="1">
                  <c:v>0.10249648382559776</c:v>
                </c:pt>
                <c:pt idx="2">
                  <c:v>0.12528355580436545</c:v>
                </c:pt>
                <c:pt idx="3">
                  <c:v>0.12911956444995332</c:v>
                </c:pt>
                <c:pt idx="4">
                  <c:v>0.13124854591693474</c:v>
                </c:pt>
                <c:pt idx="5">
                  <c:v>0.14794779606601358</c:v>
                </c:pt>
                <c:pt idx="6">
                  <c:v>0.15544022242817424</c:v>
                </c:pt>
                <c:pt idx="7">
                  <c:v>0.17939860102377186</c:v>
                </c:pt>
                <c:pt idx="8">
                  <c:v>0.18799267755071544</c:v>
                </c:pt>
                <c:pt idx="9">
                  <c:v>0.20030308153770046</c:v>
                </c:pt>
                <c:pt idx="10">
                  <c:v>0.22295264247264368</c:v>
                </c:pt>
              </c:numCache>
            </c:numRef>
          </c:val>
        </c:ser>
        <c:dLbls>
          <c:showLegendKey val="0"/>
          <c:showVal val="0"/>
          <c:showCatName val="0"/>
          <c:showSerName val="0"/>
          <c:showPercent val="0"/>
          <c:showBubbleSize val="0"/>
        </c:dLbls>
        <c:gapWidth val="182"/>
        <c:axId val="136514808"/>
        <c:axId val="136515200"/>
      </c:barChart>
      <c:catAx>
        <c:axId val="136514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15200"/>
        <c:crosses val="autoZero"/>
        <c:auto val="1"/>
        <c:lblAlgn val="ctr"/>
        <c:lblOffset val="100"/>
        <c:noMultiLvlLbl val="0"/>
      </c:catAx>
      <c:valAx>
        <c:axId val="136515200"/>
        <c:scaling>
          <c:orientation val="minMax"/>
        </c:scaling>
        <c:delete val="1"/>
        <c:axPos val="b"/>
        <c:numFmt formatCode="0%" sourceLinked="1"/>
        <c:majorTickMark val="none"/>
        <c:minorTickMark val="none"/>
        <c:tickLblPos val="nextTo"/>
        <c:crossAx val="136514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Figure 12. Percent</a:t>
            </a:r>
            <a:r>
              <a:rPr lang="en-US" sz="1200" baseline="0"/>
              <a:t> reporting that their workforce is more, equally, or less racially diverse than their customer base, by industry</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6"/>
          <c:order val="6"/>
          <c:tx>
            <c:strRef>
              <c:f>'Q4'!$H$56</c:f>
              <c:strCache>
                <c:ptCount val="1"/>
                <c:pt idx="0">
                  <c:v>% MORE</c:v>
                </c:pt>
              </c:strCache>
            </c:strRef>
          </c:tx>
          <c:spPr>
            <a:solidFill>
              <a:schemeClr val="accent1"/>
            </a:solidFill>
            <a:ln>
              <a:noFill/>
            </a:ln>
            <a:effectLst/>
          </c:spPr>
          <c:invertIfNegative val="0"/>
          <c:cat>
            <c:strRef>
              <c:f>'Q4'!$A$57:$A$67</c:f>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f>'Q4'!$H$57:$H$67</c:f>
              <c:numCache>
                <c:formatCode>0%</c:formatCode>
                <c:ptCount val="11"/>
                <c:pt idx="0">
                  <c:v>3.3112582781456956E-2</c:v>
                </c:pt>
                <c:pt idx="1">
                  <c:v>3.7037037037037035E-2</c:v>
                </c:pt>
                <c:pt idx="2">
                  <c:v>4.2105263157894736E-2</c:v>
                </c:pt>
                <c:pt idx="3">
                  <c:v>6.0240963855421686E-2</c:v>
                </c:pt>
                <c:pt idx="4">
                  <c:v>0.10280373831775701</c:v>
                </c:pt>
                <c:pt idx="5">
                  <c:v>0.13636363636363635</c:v>
                </c:pt>
                <c:pt idx="6">
                  <c:v>0.14705882352941177</c:v>
                </c:pt>
                <c:pt idx="7">
                  <c:v>0.14893617021276595</c:v>
                </c:pt>
                <c:pt idx="8">
                  <c:v>0.17857142857142858</c:v>
                </c:pt>
                <c:pt idx="9">
                  <c:v>0.26256983240223464</c:v>
                </c:pt>
                <c:pt idx="10">
                  <c:v>0.28695652173913044</c:v>
                </c:pt>
              </c:numCache>
            </c:numRef>
          </c:val>
        </c:ser>
        <c:ser>
          <c:idx val="7"/>
          <c:order val="7"/>
          <c:tx>
            <c:strRef>
              <c:f>'Q4'!$I$56</c:f>
              <c:strCache>
                <c:ptCount val="1"/>
                <c:pt idx="0">
                  <c:v>% SAME</c:v>
                </c:pt>
              </c:strCache>
            </c:strRef>
          </c:tx>
          <c:spPr>
            <a:solidFill>
              <a:schemeClr val="accent3"/>
            </a:solidFill>
            <a:ln>
              <a:noFill/>
            </a:ln>
            <a:effectLst/>
          </c:spPr>
          <c:invertIfNegative val="0"/>
          <c:cat>
            <c:strRef>
              <c:f>'Q4'!$A$57:$A$67</c:f>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f>'Q4'!$I$57:$I$67</c:f>
              <c:numCache>
                <c:formatCode>0%</c:formatCode>
                <c:ptCount val="11"/>
                <c:pt idx="0">
                  <c:v>0.58278145695364236</c:v>
                </c:pt>
                <c:pt idx="1">
                  <c:v>0.57407407407407407</c:v>
                </c:pt>
                <c:pt idx="2">
                  <c:v>0.31578947368421051</c:v>
                </c:pt>
                <c:pt idx="3">
                  <c:v>0.33734939759036142</c:v>
                </c:pt>
                <c:pt idx="4">
                  <c:v>0.50467289719626163</c:v>
                </c:pt>
                <c:pt idx="5">
                  <c:v>0.36363636363636365</c:v>
                </c:pt>
                <c:pt idx="6">
                  <c:v>0.44117647058823528</c:v>
                </c:pt>
                <c:pt idx="7">
                  <c:v>0.38297872340425532</c:v>
                </c:pt>
                <c:pt idx="8">
                  <c:v>0.26190476190476192</c:v>
                </c:pt>
                <c:pt idx="9">
                  <c:v>0.4022346368715084</c:v>
                </c:pt>
                <c:pt idx="10">
                  <c:v>0.46086956521739131</c:v>
                </c:pt>
              </c:numCache>
            </c:numRef>
          </c:val>
        </c:ser>
        <c:ser>
          <c:idx val="8"/>
          <c:order val="8"/>
          <c:tx>
            <c:strRef>
              <c:f>'Q4'!$J$56</c:f>
              <c:strCache>
                <c:ptCount val="1"/>
                <c:pt idx="0">
                  <c:v>% LESS</c:v>
                </c:pt>
              </c:strCache>
            </c:strRef>
          </c:tx>
          <c:spPr>
            <a:solidFill>
              <a:schemeClr val="accent6"/>
            </a:solidFill>
            <a:ln>
              <a:noFill/>
            </a:ln>
            <a:effectLst/>
          </c:spPr>
          <c:invertIfNegative val="0"/>
          <c:cat>
            <c:strRef>
              <c:f>'Q4'!$A$57:$A$67</c:f>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f>'Q4'!$J$57:$J$67</c:f>
              <c:numCache>
                <c:formatCode>0%</c:formatCode>
                <c:ptCount val="11"/>
                <c:pt idx="0">
                  <c:v>0.2185430463576159</c:v>
                </c:pt>
                <c:pt idx="1">
                  <c:v>0.29629629629629628</c:v>
                </c:pt>
                <c:pt idx="2">
                  <c:v>0.58947368421052626</c:v>
                </c:pt>
                <c:pt idx="3">
                  <c:v>0.50602409638554213</c:v>
                </c:pt>
                <c:pt idx="4">
                  <c:v>0.13084112149532709</c:v>
                </c:pt>
                <c:pt idx="5">
                  <c:v>0.22727272727272727</c:v>
                </c:pt>
                <c:pt idx="6">
                  <c:v>0.11764705882352941</c:v>
                </c:pt>
                <c:pt idx="7">
                  <c:v>0.36170212765957449</c:v>
                </c:pt>
                <c:pt idx="8">
                  <c:v>0.15476190476190477</c:v>
                </c:pt>
                <c:pt idx="9">
                  <c:v>0.24581005586592178</c:v>
                </c:pt>
                <c:pt idx="10">
                  <c:v>0.14782608695652175</c:v>
                </c:pt>
              </c:numCache>
            </c:numRef>
          </c:val>
        </c:ser>
        <c:ser>
          <c:idx val="9"/>
          <c:order val="9"/>
          <c:tx>
            <c:strRef>
              <c:f>'Q4'!$K$56</c:f>
              <c:strCache>
                <c:ptCount val="1"/>
                <c:pt idx="0">
                  <c:v>% UNSURE</c:v>
                </c:pt>
              </c:strCache>
            </c:strRef>
          </c:tx>
          <c:spPr>
            <a:solidFill>
              <a:schemeClr val="bg1">
                <a:lumMod val="85000"/>
              </a:schemeClr>
            </a:solidFill>
            <a:ln>
              <a:noFill/>
            </a:ln>
            <a:effectLst/>
          </c:spPr>
          <c:invertIfNegative val="0"/>
          <c:cat>
            <c:strRef>
              <c:f>'Q4'!$A$57:$A$67</c:f>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f>'Q4'!$K$57:$K$67</c:f>
              <c:numCache>
                <c:formatCode>0%</c:formatCode>
                <c:ptCount val="11"/>
                <c:pt idx="0">
                  <c:v>0.16556291390728478</c:v>
                </c:pt>
                <c:pt idx="1">
                  <c:v>9.2592592592592587E-2</c:v>
                </c:pt>
                <c:pt idx="2">
                  <c:v>5.2631578947368418E-2</c:v>
                </c:pt>
                <c:pt idx="3">
                  <c:v>9.6385542168674704E-2</c:v>
                </c:pt>
                <c:pt idx="4">
                  <c:v>0.26168224299065418</c:v>
                </c:pt>
                <c:pt idx="5">
                  <c:v>0.27272727272727271</c:v>
                </c:pt>
                <c:pt idx="6">
                  <c:v>0.29411764705882354</c:v>
                </c:pt>
                <c:pt idx="7">
                  <c:v>0.10638297872340426</c:v>
                </c:pt>
                <c:pt idx="8">
                  <c:v>0.40476190476190477</c:v>
                </c:pt>
                <c:pt idx="9">
                  <c:v>8.9385474860335198E-2</c:v>
                </c:pt>
                <c:pt idx="10">
                  <c:v>0.10434782608695652</c:v>
                </c:pt>
              </c:numCache>
            </c:numRef>
          </c:val>
        </c:ser>
        <c:dLbls>
          <c:showLegendKey val="0"/>
          <c:showVal val="0"/>
          <c:showCatName val="0"/>
          <c:showSerName val="0"/>
          <c:showPercent val="0"/>
          <c:showBubbleSize val="0"/>
        </c:dLbls>
        <c:gapWidth val="182"/>
        <c:overlap val="100"/>
        <c:axId val="136515984"/>
        <c:axId val="136516376"/>
        <c:extLst>
          <c:ext xmlns:c15="http://schemas.microsoft.com/office/drawing/2012/chart" uri="{02D57815-91ED-43cb-92C2-25804820EDAC}">
            <c15:filteredBarSeries>
              <c15:ser>
                <c:idx val="0"/>
                <c:order val="0"/>
                <c:tx>
                  <c:strRef>
                    <c:extLst>
                      <c:ext uri="{02D57815-91ED-43cb-92C2-25804820EDAC}">
                        <c15:formulaRef>
                          <c15:sqref>'Q4'!$B$56</c15:sqref>
                        </c15:formulaRef>
                      </c:ext>
                    </c:extLst>
                    <c:strCache>
                      <c:ptCount val="1"/>
                      <c:pt idx="0">
                        <c:v>My  workforce is MORE diverse</c:v>
                      </c:pt>
                    </c:strCache>
                  </c:strRef>
                </c:tx>
                <c:spPr>
                  <a:solidFill>
                    <a:schemeClr val="accent1"/>
                  </a:solidFill>
                  <a:ln>
                    <a:noFill/>
                  </a:ln>
                  <a:effectLst/>
                </c:spPr>
                <c:invertIfNegative val="0"/>
                <c:cat>
                  <c:strRef>
                    <c:extLst>
                      <c:ext uri="{02D57815-91ED-43cb-92C2-25804820EDAC}">
                        <c15:formulaRef>
                          <c15:sqref>'Q4'!$A$57:$A$67</c15:sqref>
                        </c15:formulaRef>
                      </c:ext>
                    </c:extLst>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extLst>
                      <c:ext uri="{02D57815-91ED-43cb-92C2-25804820EDAC}">
                        <c15:formulaRef>
                          <c15:sqref>'Q4'!$B$57:$B$67</c15:sqref>
                        </c15:formulaRef>
                      </c:ext>
                    </c:extLst>
                    <c:numCache>
                      <c:formatCode>General</c:formatCode>
                      <c:ptCount val="11"/>
                      <c:pt idx="0">
                        <c:v>5</c:v>
                      </c:pt>
                      <c:pt idx="1">
                        <c:v>2</c:v>
                      </c:pt>
                      <c:pt idx="2">
                        <c:v>4</c:v>
                      </c:pt>
                      <c:pt idx="3">
                        <c:v>5</c:v>
                      </c:pt>
                      <c:pt idx="4">
                        <c:v>11</c:v>
                      </c:pt>
                      <c:pt idx="5">
                        <c:v>6</c:v>
                      </c:pt>
                      <c:pt idx="6">
                        <c:v>5</c:v>
                      </c:pt>
                      <c:pt idx="7">
                        <c:v>7</c:v>
                      </c:pt>
                      <c:pt idx="8">
                        <c:v>15</c:v>
                      </c:pt>
                      <c:pt idx="9">
                        <c:v>47</c:v>
                      </c:pt>
                      <c:pt idx="10">
                        <c:v>33</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'Q4'!$C$56</c15:sqref>
                        </c15:formulaRef>
                      </c:ext>
                    </c:extLst>
                    <c:strCache>
                      <c:ptCount val="1"/>
                      <c:pt idx="0">
                        <c:v>We're about the SAME</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'Q4'!$A$57:$A$67</c15:sqref>
                        </c15:formulaRef>
                      </c:ext>
                    </c:extLst>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extLst xmlns:c15="http://schemas.microsoft.com/office/drawing/2012/chart">
                      <c:ext xmlns:c15="http://schemas.microsoft.com/office/drawing/2012/chart" uri="{02D57815-91ED-43cb-92C2-25804820EDAC}">
                        <c15:formulaRef>
                          <c15:sqref>'Q4'!$C$57:$C$67</c15:sqref>
                        </c15:formulaRef>
                      </c:ext>
                    </c:extLst>
                    <c:numCache>
                      <c:formatCode>General</c:formatCode>
                      <c:ptCount val="11"/>
                      <c:pt idx="0">
                        <c:v>88</c:v>
                      </c:pt>
                      <c:pt idx="1">
                        <c:v>31</c:v>
                      </c:pt>
                      <c:pt idx="2">
                        <c:v>30</c:v>
                      </c:pt>
                      <c:pt idx="3">
                        <c:v>28</c:v>
                      </c:pt>
                      <c:pt idx="4">
                        <c:v>54</c:v>
                      </c:pt>
                      <c:pt idx="5">
                        <c:v>16</c:v>
                      </c:pt>
                      <c:pt idx="6">
                        <c:v>15</c:v>
                      </c:pt>
                      <c:pt idx="7">
                        <c:v>18</c:v>
                      </c:pt>
                      <c:pt idx="8">
                        <c:v>22</c:v>
                      </c:pt>
                      <c:pt idx="9">
                        <c:v>72</c:v>
                      </c:pt>
                      <c:pt idx="10">
                        <c:v>53</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'Q4'!$D$56</c15:sqref>
                        </c15:formulaRef>
                      </c:ext>
                    </c:extLst>
                    <c:strCache>
                      <c:ptCount val="1"/>
                      <c:pt idx="0">
                        <c:v>My workforce is LESS diverse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'Q4'!$A$57:$A$67</c15:sqref>
                        </c15:formulaRef>
                      </c:ext>
                    </c:extLst>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extLst xmlns:c15="http://schemas.microsoft.com/office/drawing/2012/chart">
                      <c:ext xmlns:c15="http://schemas.microsoft.com/office/drawing/2012/chart" uri="{02D57815-91ED-43cb-92C2-25804820EDAC}">
                        <c15:formulaRef>
                          <c15:sqref>'Q4'!$D$57:$D$67</c15:sqref>
                        </c15:formulaRef>
                      </c:ext>
                    </c:extLst>
                    <c:numCache>
                      <c:formatCode>General</c:formatCode>
                      <c:ptCount val="11"/>
                      <c:pt idx="0">
                        <c:v>33</c:v>
                      </c:pt>
                      <c:pt idx="1">
                        <c:v>16</c:v>
                      </c:pt>
                      <c:pt idx="2">
                        <c:v>56</c:v>
                      </c:pt>
                      <c:pt idx="3">
                        <c:v>42</c:v>
                      </c:pt>
                      <c:pt idx="4">
                        <c:v>14</c:v>
                      </c:pt>
                      <c:pt idx="5">
                        <c:v>10</c:v>
                      </c:pt>
                      <c:pt idx="6">
                        <c:v>4</c:v>
                      </c:pt>
                      <c:pt idx="7">
                        <c:v>17</c:v>
                      </c:pt>
                      <c:pt idx="8">
                        <c:v>13</c:v>
                      </c:pt>
                      <c:pt idx="9">
                        <c:v>44</c:v>
                      </c:pt>
                      <c:pt idx="10">
                        <c:v>17</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'Q4'!$E$56</c15:sqref>
                        </c15:formulaRef>
                      </c:ext>
                    </c:extLst>
                    <c:strCache>
                      <c:ptCount val="1"/>
                      <c:pt idx="0">
                        <c:v>Unsure/ don't know</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'Q4'!$A$57:$A$67</c15:sqref>
                        </c15:formulaRef>
                      </c:ext>
                    </c:extLst>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extLst xmlns:c15="http://schemas.microsoft.com/office/drawing/2012/chart">
                      <c:ext xmlns:c15="http://schemas.microsoft.com/office/drawing/2012/chart" uri="{02D57815-91ED-43cb-92C2-25804820EDAC}">
                        <c15:formulaRef>
                          <c15:sqref>'Q4'!$E$57:$E$67</c15:sqref>
                        </c15:formulaRef>
                      </c:ext>
                    </c:extLst>
                    <c:numCache>
                      <c:formatCode>General</c:formatCode>
                      <c:ptCount val="11"/>
                      <c:pt idx="0">
                        <c:v>25</c:v>
                      </c:pt>
                      <c:pt idx="1">
                        <c:v>5</c:v>
                      </c:pt>
                      <c:pt idx="2">
                        <c:v>5</c:v>
                      </c:pt>
                      <c:pt idx="3">
                        <c:v>8</c:v>
                      </c:pt>
                      <c:pt idx="4">
                        <c:v>28</c:v>
                      </c:pt>
                      <c:pt idx="5">
                        <c:v>12</c:v>
                      </c:pt>
                      <c:pt idx="6">
                        <c:v>10</c:v>
                      </c:pt>
                      <c:pt idx="7">
                        <c:v>5</c:v>
                      </c:pt>
                      <c:pt idx="8">
                        <c:v>34</c:v>
                      </c:pt>
                      <c:pt idx="9">
                        <c:v>16</c:v>
                      </c:pt>
                      <c:pt idx="10">
                        <c:v>12</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'Q4'!$F$56</c15:sqref>
                        </c15:formulaRef>
                      </c:ext>
                    </c:extLst>
                    <c:strCache>
                      <c:ptCount val="1"/>
                      <c:pt idx="0">
                        <c:v>&lt;NA&gt;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'Q4'!$A$57:$A$67</c15:sqref>
                        </c15:formulaRef>
                      </c:ext>
                    </c:extLst>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extLst xmlns:c15="http://schemas.microsoft.com/office/drawing/2012/chart">
                      <c:ext xmlns:c15="http://schemas.microsoft.com/office/drawing/2012/chart" uri="{02D57815-91ED-43cb-92C2-25804820EDAC}">
                        <c15:formulaRef>
                          <c15:sqref>'Q4'!$F$57:$F$67</c15:sqref>
                        </c15:formulaRef>
                      </c:ext>
                    </c:extLst>
                    <c:numCache>
                      <c:formatCode>General</c:formatCode>
                      <c:ptCount val="11"/>
                      <c:pt idx="0">
                        <c:v>3</c:v>
                      </c:pt>
                      <c:pt idx="1">
                        <c:v>2</c:v>
                      </c:pt>
                      <c:pt idx="2">
                        <c:v>3</c:v>
                      </c:pt>
                      <c:pt idx="3">
                        <c:v>6</c:v>
                      </c:pt>
                      <c:pt idx="4">
                        <c:v>4</c:v>
                      </c:pt>
                      <c:pt idx="5">
                        <c:v>1</c:v>
                      </c:pt>
                      <c:pt idx="6">
                        <c:v>4</c:v>
                      </c:pt>
                      <c:pt idx="7">
                        <c:v>2</c:v>
                      </c:pt>
                      <c:pt idx="8">
                        <c:v>2</c:v>
                      </c:pt>
                      <c:pt idx="9">
                        <c:v>2</c:v>
                      </c:pt>
                      <c:pt idx="10">
                        <c:v>2</c:v>
                      </c:pt>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'Q4'!$G$56</c15:sqref>
                        </c15:formulaRef>
                      </c:ext>
                    </c:extLst>
                    <c:strCache>
                      <c:ptCount val="1"/>
                      <c:pt idx="0">
                        <c:v>N responded</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'Q4'!$A$57:$A$67</c15:sqref>
                        </c15:formulaRef>
                      </c:ext>
                    </c:extLst>
                    <c:strCache>
                      <c:ptCount val="11"/>
                      <c:pt idx="0">
                        <c:v>Trade, Transportation, and Utilities</c:v>
                      </c:pt>
                      <c:pt idx="1">
                        <c:v>Financial Activities</c:v>
                      </c:pt>
                      <c:pt idx="2">
                        <c:v>Education Services</c:v>
                      </c:pt>
                      <c:pt idx="3">
                        <c:v>Government</c:v>
                      </c:pt>
                      <c:pt idx="4">
                        <c:v>Professional and Business Services</c:v>
                      </c:pt>
                      <c:pt idx="5">
                        <c:v>Construction</c:v>
                      </c:pt>
                      <c:pt idx="6">
                        <c:v>Natural Resources and Mining</c:v>
                      </c:pt>
                      <c:pt idx="7">
                        <c:v>Other Services</c:v>
                      </c:pt>
                      <c:pt idx="8">
                        <c:v>Manufacturing</c:v>
                      </c:pt>
                      <c:pt idx="9">
                        <c:v>Health Services</c:v>
                      </c:pt>
                      <c:pt idx="10">
                        <c:v>Leisure and Hospitality</c:v>
                      </c:pt>
                    </c:strCache>
                  </c:strRef>
                </c:cat>
                <c:val>
                  <c:numRef>
                    <c:extLst xmlns:c15="http://schemas.microsoft.com/office/drawing/2012/chart">
                      <c:ext xmlns:c15="http://schemas.microsoft.com/office/drawing/2012/chart" uri="{02D57815-91ED-43cb-92C2-25804820EDAC}">
                        <c15:formulaRef>
                          <c15:sqref>'Q4'!$G$57:$G$67</c15:sqref>
                        </c15:formulaRef>
                      </c:ext>
                    </c:extLst>
                    <c:numCache>
                      <c:formatCode>General</c:formatCode>
                      <c:ptCount val="11"/>
                      <c:pt idx="0">
                        <c:v>151</c:v>
                      </c:pt>
                      <c:pt idx="1">
                        <c:v>54</c:v>
                      </c:pt>
                      <c:pt idx="2">
                        <c:v>95</c:v>
                      </c:pt>
                      <c:pt idx="3">
                        <c:v>83</c:v>
                      </c:pt>
                      <c:pt idx="4">
                        <c:v>107</c:v>
                      </c:pt>
                      <c:pt idx="5">
                        <c:v>44</c:v>
                      </c:pt>
                      <c:pt idx="6">
                        <c:v>34</c:v>
                      </c:pt>
                      <c:pt idx="7">
                        <c:v>47</c:v>
                      </c:pt>
                      <c:pt idx="8">
                        <c:v>84</c:v>
                      </c:pt>
                      <c:pt idx="9">
                        <c:v>179</c:v>
                      </c:pt>
                      <c:pt idx="10">
                        <c:v>115</c:v>
                      </c:pt>
                    </c:numCache>
                  </c:numRef>
                </c:val>
              </c15:ser>
            </c15:filteredBarSeries>
          </c:ext>
        </c:extLst>
      </c:barChart>
      <c:catAx>
        <c:axId val="136515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16376"/>
        <c:crosses val="autoZero"/>
        <c:auto val="1"/>
        <c:lblAlgn val="ctr"/>
        <c:lblOffset val="100"/>
        <c:noMultiLvlLbl val="0"/>
      </c:catAx>
      <c:valAx>
        <c:axId val="13651637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15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Figure 13. Percent reporting that their workforce is more, equally, or less racially diverse than their city or town, by industry</a:t>
            </a:r>
            <a:endParaRPr lang="en-US" sz="1050">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stacked"/>
        <c:varyColors val="0"/>
        <c:ser>
          <c:idx val="6"/>
          <c:order val="6"/>
          <c:tx>
            <c:strRef>
              <c:f>'Q5'!$H$58</c:f>
              <c:strCache>
                <c:ptCount val="1"/>
                <c:pt idx="0">
                  <c:v>% MORE</c:v>
                </c:pt>
              </c:strCache>
            </c:strRef>
          </c:tx>
          <c:spPr>
            <a:solidFill>
              <a:schemeClr val="accent1"/>
            </a:solidFill>
            <a:ln>
              <a:noFill/>
            </a:ln>
            <a:effectLst/>
          </c:spPr>
          <c:invertIfNegative val="0"/>
          <c:cat>
            <c:strRef>
              <c:f>'Q5'!$A$59:$A$69</c:f>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f>'Q5'!$H$59:$H$69</c:f>
              <c:numCache>
                <c:formatCode>0%</c:formatCode>
                <c:ptCount val="11"/>
                <c:pt idx="0">
                  <c:v>5.8823529411764705E-2</c:v>
                </c:pt>
                <c:pt idx="1">
                  <c:v>6.25E-2</c:v>
                </c:pt>
                <c:pt idx="2">
                  <c:v>7.407407407407407E-2</c:v>
                </c:pt>
                <c:pt idx="3">
                  <c:v>0.10638297872340426</c:v>
                </c:pt>
                <c:pt idx="4">
                  <c:v>0.11258278145695365</c:v>
                </c:pt>
                <c:pt idx="5">
                  <c:v>0.12149532710280374</c:v>
                </c:pt>
                <c:pt idx="6">
                  <c:v>0.15909090909090909</c:v>
                </c:pt>
                <c:pt idx="7">
                  <c:v>0.16759776536312848</c:v>
                </c:pt>
                <c:pt idx="8">
                  <c:v>0.21176470588235294</c:v>
                </c:pt>
                <c:pt idx="9">
                  <c:v>0.25438596491228072</c:v>
                </c:pt>
                <c:pt idx="10">
                  <c:v>0.30555555555555558</c:v>
                </c:pt>
              </c:numCache>
            </c:numRef>
          </c:val>
        </c:ser>
        <c:ser>
          <c:idx val="7"/>
          <c:order val="7"/>
          <c:tx>
            <c:strRef>
              <c:f>'Q5'!$I$58</c:f>
              <c:strCache>
                <c:ptCount val="1"/>
                <c:pt idx="0">
                  <c:v>% SAME</c:v>
                </c:pt>
              </c:strCache>
            </c:strRef>
          </c:tx>
          <c:spPr>
            <a:solidFill>
              <a:schemeClr val="accent3"/>
            </a:solidFill>
            <a:ln>
              <a:noFill/>
            </a:ln>
            <a:effectLst/>
          </c:spPr>
          <c:invertIfNegative val="0"/>
          <c:cat>
            <c:strRef>
              <c:f>'Q5'!$A$59:$A$69</c:f>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f>'Q5'!$I$59:$I$69</c:f>
              <c:numCache>
                <c:formatCode>0%</c:formatCode>
                <c:ptCount val="11"/>
                <c:pt idx="0">
                  <c:v>0.37647058823529411</c:v>
                </c:pt>
                <c:pt idx="1">
                  <c:v>0.40625</c:v>
                </c:pt>
                <c:pt idx="2">
                  <c:v>0.59259259259259256</c:v>
                </c:pt>
                <c:pt idx="3">
                  <c:v>0.44680851063829785</c:v>
                </c:pt>
                <c:pt idx="4">
                  <c:v>0.56953642384105962</c:v>
                </c:pt>
                <c:pt idx="5">
                  <c:v>0.47663551401869159</c:v>
                </c:pt>
                <c:pt idx="6">
                  <c:v>0.34090909090909088</c:v>
                </c:pt>
                <c:pt idx="7">
                  <c:v>0.48603351955307261</c:v>
                </c:pt>
                <c:pt idx="8">
                  <c:v>0.55294117647058827</c:v>
                </c:pt>
                <c:pt idx="9">
                  <c:v>0.5</c:v>
                </c:pt>
                <c:pt idx="10">
                  <c:v>0.47222222222222221</c:v>
                </c:pt>
              </c:numCache>
            </c:numRef>
          </c:val>
        </c:ser>
        <c:ser>
          <c:idx val="8"/>
          <c:order val="8"/>
          <c:tx>
            <c:strRef>
              <c:f>'Q5'!$J$58</c:f>
              <c:strCache>
                <c:ptCount val="1"/>
                <c:pt idx="0">
                  <c:v>% LESS</c:v>
                </c:pt>
              </c:strCache>
            </c:strRef>
          </c:tx>
          <c:spPr>
            <a:solidFill>
              <a:schemeClr val="accent6"/>
            </a:solidFill>
            <a:ln>
              <a:noFill/>
            </a:ln>
            <a:effectLst/>
          </c:spPr>
          <c:invertIfNegative val="0"/>
          <c:cat>
            <c:strRef>
              <c:f>'Q5'!$A$59:$A$69</c:f>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f>'Q5'!$J$59:$J$69</c:f>
              <c:numCache>
                <c:formatCode>0%</c:formatCode>
                <c:ptCount val="11"/>
                <c:pt idx="0">
                  <c:v>0.4823529411764706</c:v>
                </c:pt>
                <c:pt idx="1">
                  <c:v>0.45833333333333331</c:v>
                </c:pt>
                <c:pt idx="2">
                  <c:v>0.25925925925925924</c:v>
                </c:pt>
                <c:pt idx="3">
                  <c:v>0.31914893617021278</c:v>
                </c:pt>
                <c:pt idx="4">
                  <c:v>0.19867549668874171</c:v>
                </c:pt>
                <c:pt idx="5">
                  <c:v>0.22429906542056074</c:v>
                </c:pt>
                <c:pt idx="6">
                  <c:v>0.29545454545454547</c:v>
                </c:pt>
                <c:pt idx="7">
                  <c:v>0.25139664804469275</c:v>
                </c:pt>
                <c:pt idx="8">
                  <c:v>0.12941176470588237</c:v>
                </c:pt>
                <c:pt idx="9">
                  <c:v>0.14912280701754385</c:v>
                </c:pt>
                <c:pt idx="10">
                  <c:v>8.3333333333333329E-2</c:v>
                </c:pt>
              </c:numCache>
            </c:numRef>
          </c:val>
        </c:ser>
        <c:ser>
          <c:idx val="9"/>
          <c:order val="9"/>
          <c:tx>
            <c:strRef>
              <c:f>'Q5'!$K$58</c:f>
              <c:strCache>
                <c:ptCount val="1"/>
                <c:pt idx="0">
                  <c:v>% UNSURE</c:v>
                </c:pt>
              </c:strCache>
            </c:strRef>
          </c:tx>
          <c:spPr>
            <a:solidFill>
              <a:schemeClr val="bg1">
                <a:lumMod val="85000"/>
              </a:schemeClr>
            </a:solidFill>
            <a:ln>
              <a:noFill/>
            </a:ln>
            <a:effectLst/>
          </c:spPr>
          <c:invertIfNegative val="0"/>
          <c:cat>
            <c:strRef>
              <c:f>'Q5'!$A$59:$A$69</c:f>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f>'Q5'!$K$59:$K$69</c:f>
              <c:numCache>
                <c:formatCode>0%</c:formatCode>
                <c:ptCount val="11"/>
                <c:pt idx="0">
                  <c:v>8.2352941176470587E-2</c:v>
                </c:pt>
                <c:pt idx="1">
                  <c:v>7.2916666666666671E-2</c:v>
                </c:pt>
                <c:pt idx="2">
                  <c:v>7.407407407407407E-2</c:v>
                </c:pt>
                <c:pt idx="3">
                  <c:v>0.1276595744680851</c:v>
                </c:pt>
                <c:pt idx="4">
                  <c:v>0.11920529801324503</c:v>
                </c:pt>
                <c:pt idx="5">
                  <c:v>0.17757009345794392</c:v>
                </c:pt>
                <c:pt idx="6">
                  <c:v>0.20454545454545456</c:v>
                </c:pt>
                <c:pt idx="7">
                  <c:v>9.4972067039106142E-2</c:v>
                </c:pt>
                <c:pt idx="8">
                  <c:v>0.10588235294117647</c:v>
                </c:pt>
                <c:pt idx="9">
                  <c:v>9.6491228070175433E-2</c:v>
                </c:pt>
                <c:pt idx="10">
                  <c:v>0.1388888888888889</c:v>
                </c:pt>
              </c:numCache>
            </c:numRef>
          </c:val>
        </c:ser>
        <c:dLbls>
          <c:showLegendKey val="0"/>
          <c:showVal val="0"/>
          <c:showCatName val="0"/>
          <c:showSerName val="0"/>
          <c:showPercent val="0"/>
          <c:showBubbleSize val="0"/>
        </c:dLbls>
        <c:gapWidth val="150"/>
        <c:overlap val="100"/>
        <c:axId val="136517160"/>
        <c:axId val="136799888"/>
        <c:extLst>
          <c:ext xmlns:c15="http://schemas.microsoft.com/office/drawing/2012/chart" uri="{02D57815-91ED-43cb-92C2-25804820EDAC}">
            <c15:filteredBarSeries>
              <c15:ser>
                <c:idx val="0"/>
                <c:order val="0"/>
                <c:tx>
                  <c:strRef>
                    <c:extLst>
                      <c:ext uri="{02D57815-91ED-43cb-92C2-25804820EDAC}">
                        <c15:formulaRef>
                          <c15:sqref>'Q5'!$B$58</c15:sqref>
                        </c15:formulaRef>
                      </c:ext>
                    </c:extLst>
                    <c:strCache>
                      <c:ptCount val="1"/>
                      <c:pt idx="0">
                        <c:v>My  workforce is MORE diverse</c:v>
                      </c:pt>
                    </c:strCache>
                  </c:strRef>
                </c:tx>
                <c:spPr>
                  <a:solidFill>
                    <a:schemeClr val="accent1"/>
                  </a:solidFill>
                  <a:ln>
                    <a:noFill/>
                  </a:ln>
                  <a:effectLst/>
                </c:spPr>
                <c:invertIfNegative val="0"/>
                <c:cat>
                  <c:strRef>
                    <c:extLst>
                      <c:ext uri="{02D57815-91ED-43cb-92C2-25804820EDAC}">
                        <c15:formulaRef>
                          <c15:sqref>'Q5'!$A$59:$A$69</c15:sqref>
                        </c15:formulaRef>
                      </c:ext>
                    </c:extLst>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extLst>
                      <c:ext uri="{02D57815-91ED-43cb-92C2-25804820EDAC}">
                        <c15:formulaRef>
                          <c15:sqref>'Q5'!$B$59:$B$69</c15:sqref>
                        </c15:formulaRef>
                      </c:ext>
                    </c:extLst>
                    <c:numCache>
                      <c:formatCode>General</c:formatCode>
                      <c:ptCount val="11"/>
                      <c:pt idx="0">
                        <c:v>5</c:v>
                      </c:pt>
                      <c:pt idx="1">
                        <c:v>6</c:v>
                      </c:pt>
                      <c:pt idx="2">
                        <c:v>4</c:v>
                      </c:pt>
                      <c:pt idx="3">
                        <c:v>5</c:v>
                      </c:pt>
                      <c:pt idx="4">
                        <c:v>17</c:v>
                      </c:pt>
                      <c:pt idx="5">
                        <c:v>13</c:v>
                      </c:pt>
                      <c:pt idx="6">
                        <c:v>7</c:v>
                      </c:pt>
                      <c:pt idx="7">
                        <c:v>30</c:v>
                      </c:pt>
                      <c:pt idx="8">
                        <c:v>18</c:v>
                      </c:pt>
                      <c:pt idx="9">
                        <c:v>29</c:v>
                      </c:pt>
                      <c:pt idx="10">
                        <c:v>11</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'Q5'!$C$58</c15:sqref>
                        </c15:formulaRef>
                      </c:ext>
                    </c:extLst>
                    <c:strCache>
                      <c:ptCount val="1"/>
                      <c:pt idx="0">
                        <c:v>We're about the SAME</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'Q5'!$A$59:$A$69</c15:sqref>
                        </c15:formulaRef>
                      </c:ext>
                    </c:extLst>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extLst xmlns:c15="http://schemas.microsoft.com/office/drawing/2012/chart">
                      <c:ext xmlns:c15="http://schemas.microsoft.com/office/drawing/2012/chart" uri="{02D57815-91ED-43cb-92C2-25804820EDAC}">
                        <c15:formulaRef>
                          <c15:sqref>'Q5'!$D$59:$D$69</c15:sqref>
                        </c15:formulaRef>
                      </c:ext>
                    </c:extLst>
                    <c:numCache>
                      <c:formatCode>General</c:formatCode>
                      <c:ptCount val="11"/>
                      <c:pt idx="0">
                        <c:v>41</c:v>
                      </c:pt>
                      <c:pt idx="1">
                        <c:v>44</c:v>
                      </c:pt>
                      <c:pt idx="2">
                        <c:v>14</c:v>
                      </c:pt>
                      <c:pt idx="3">
                        <c:v>15</c:v>
                      </c:pt>
                      <c:pt idx="4">
                        <c:v>30</c:v>
                      </c:pt>
                      <c:pt idx="5">
                        <c:v>24</c:v>
                      </c:pt>
                      <c:pt idx="6">
                        <c:v>13</c:v>
                      </c:pt>
                      <c:pt idx="7">
                        <c:v>45</c:v>
                      </c:pt>
                      <c:pt idx="8">
                        <c:v>11</c:v>
                      </c:pt>
                      <c:pt idx="9">
                        <c:v>17</c:v>
                      </c:pt>
                      <c:pt idx="10">
                        <c:v>3</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'Q5'!$D$58</c15:sqref>
                        </c15:formulaRef>
                      </c:ext>
                    </c:extLst>
                    <c:strCache>
                      <c:ptCount val="1"/>
                      <c:pt idx="0">
                        <c:v>My workforce is LESS diverse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'Q5'!$A$59:$A$69</c15:sqref>
                        </c15:formulaRef>
                      </c:ext>
                    </c:extLst>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extLst xmlns:c15="http://schemas.microsoft.com/office/drawing/2012/chart">
                      <c:ext xmlns:c15="http://schemas.microsoft.com/office/drawing/2012/chart" uri="{02D57815-91ED-43cb-92C2-25804820EDAC}">
                        <c15:formulaRef>
                          <c15:sqref>'Q5'!$E$59:$E$69</c15:sqref>
                        </c15:formulaRef>
                      </c:ext>
                    </c:extLst>
                    <c:numCache>
                      <c:formatCode>General</c:formatCode>
                      <c:ptCount val="11"/>
                      <c:pt idx="0">
                        <c:v>7</c:v>
                      </c:pt>
                      <c:pt idx="1">
                        <c:v>7</c:v>
                      </c:pt>
                      <c:pt idx="2">
                        <c:v>4</c:v>
                      </c:pt>
                      <c:pt idx="3">
                        <c:v>6</c:v>
                      </c:pt>
                      <c:pt idx="4">
                        <c:v>18</c:v>
                      </c:pt>
                      <c:pt idx="5">
                        <c:v>19</c:v>
                      </c:pt>
                      <c:pt idx="6">
                        <c:v>9</c:v>
                      </c:pt>
                      <c:pt idx="7">
                        <c:v>17</c:v>
                      </c:pt>
                      <c:pt idx="8">
                        <c:v>9</c:v>
                      </c:pt>
                      <c:pt idx="9">
                        <c:v>11</c:v>
                      </c:pt>
                      <c:pt idx="10">
                        <c:v>5</c:v>
                      </c:pt>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'Q5'!$E$58</c15:sqref>
                        </c15:formulaRef>
                      </c:ext>
                    </c:extLst>
                    <c:strCache>
                      <c:ptCount val="1"/>
                      <c:pt idx="0">
                        <c:v>Unsure/ don't know</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'Q5'!$A$59:$A$69</c15:sqref>
                        </c15:formulaRef>
                      </c:ext>
                    </c:extLst>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extLst xmlns:c15="http://schemas.microsoft.com/office/drawing/2012/chart">
                      <c:ext xmlns:c15="http://schemas.microsoft.com/office/drawing/2012/chart" uri="{02D57815-91ED-43cb-92C2-25804820EDAC}">
                        <c15:formulaRef>
                          <c15:sqref>'Q5'!$C$59:$C$69</c15:sqref>
                        </c15:formulaRef>
                      </c:ext>
                    </c:extLst>
                    <c:numCache>
                      <c:formatCode>General</c:formatCode>
                      <c:ptCount val="11"/>
                      <c:pt idx="0">
                        <c:v>32</c:v>
                      </c:pt>
                      <c:pt idx="1">
                        <c:v>39</c:v>
                      </c:pt>
                      <c:pt idx="2">
                        <c:v>32</c:v>
                      </c:pt>
                      <c:pt idx="3">
                        <c:v>21</c:v>
                      </c:pt>
                      <c:pt idx="4">
                        <c:v>86</c:v>
                      </c:pt>
                      <c:pt idx="5">
                        <c:v>51</c:v>
                      </c:pt>
                      <c:pt idx="6">
                        <c:v>15</c:v>
                      </c:pt>
                      <c:pt idx="7">
                        <c:v>87</c:v>
                      </c:pt>
                      <c:pt idx="8">
                        <c:v>47</c:v>
                      </c:pt>
                      <c:pt idx="9">
                        <c:v>57</c:v>
                      </c:pt>
                      <c:pt idx="10">
                        <c:v>17</c:v>
                      </c:pt>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'Q5'!$F$58</c15:sqref>
                        </c15:formulaRef>
                      </c:ext>
                    </c:extLst>
                    <c:strCache>
                      <c:ptCount val="1"/>
                      <c:pt idx="0">
                        <c:v>&lt;NA&gt;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'Q5'!$A$59:$A$69</c15:sqref>
                        </c15:formulaRef>
                      </c:ext>
                    </c:extLst>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extLst xmlns:c15="http://schemas.microsoft.com/office/drawing/2012/chart">
                      <c:ext xmlns:c15="http://schemas.microsoft.com/office/drawing/2012/chart" uri="{02D57815-91ED-43cb-92C2-25804820EDAC}">
                        <c15:formulaRef>
                          <c15:sqref>'Q5'!$F$59:$F$69</c15:sqref>
                        </c15:formulaRef>
                      </c:ext>
                    </c:extLst>
                    <c:numCache>
                      <c:formatCode>General</c:formatCode>
                      <c:ptCount val="11"/>
                      <c:pt idx="0">
                        <c:v>4</c:v>
                      </c:pt>
                      <c:pt idx="1">
                        <c:v>2</c:v>
                      </c:pt>
                      <c:pt idx="2">
                        <c:v>2</c:v>
                      </c:pt>
                      <c:pt idx="3">
                        <c:v>2</c:v>
                      </c:pt>
                      <c:pt idx="4">
                        <c:v>3</c:v>
                      </c:pt>
                      <c:pt idx="5">
                        <c:v>4</c:v>
                      </c:pt>
                      <c:pt idx="6">
                        <c:v>1</c:v>
                      </c:pt>
                      <c:pt idx="7">
                        <c:v>2</c:v>
                      </c:pt>
                      <c:pt idx="8">
                        <c:v>1</c:v>
                      </c:pt>
                      <c:pt idx="9">
                        <c:v>3</c:v>
                      </c:pt>
                      <c:pt idx="10">
                        <c:v>2</c:v>
                      </c:pt>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'Q5'!$G$58</c15:sqref>
                        </c15:formulaRef>
                      </c:ext>
                    </c:extLst>
                    <c:strCache>
                      <c:ptCount val="1"/>
                      <c:pt idx="0">
                        <c:v>N responded</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'Q5'!$A$59:$A$69</c15:sqref>
                        </c15:formulaRef>
                      </c:ext>
                    </c:extLst>
                    <c:strCache>
                      <c:ptCount val="11"/>
                      <c:pt idx="0">
                        <c:v>Government</c:v>
                      </c:pt>
                      <c:pt idx="1">
                        <c:v>Education Services</c:v>
                      </c:pt>
                      <c:pt idx="2">
                        <c:v>Financial Activities</c:v>
                      </c:pt>
                      <c:pt idx="3">
                        <c:v>Other Services</c:v>
                      </c:pt>
                      <c:pt idx="4">
                        <c:v>Trade, Transportation, and Utilities</c:v>
                      </c:pt>
                      <c:pt idx="5">
                        <c:v>Professional and Business Services</c:v>
                      </c:pt>
                      <c:pt idx="6">
                        <c:v>Construction</c:v>
                      </c:pt>
                      <c:pt idx="7">
                        <c:v>Health Services</c:v>
                      </c:pt>
                      <c:pt idx="8">
                        <c:v>Manufacturing</c:v>
                      </c:pt>
                      <c:pt idx="9">
                        <c:v>Leisure and Hospitality</c:v>
                      </c:pt>
                      <c:pt idx="10">
                        <c:v>Natural Resources and Mining</c:v>
                      </c:pt>
                    </c:strCache>
                  </c:strRef>
                </c:cat>
                <c:val>
                  <c:numRef>
                    <c:extLst xmlns:c15="http://schemas.microsoft.com/office/drawing/2012/chart">
                      <c:ext xmlns:c15="http://schemas.microsoft.com/office/drawing/2012/chart" uri="{02D57815-91ED-43cb-92C2-25804820EDAC}">
                        <c15:formulaRef>
                          <c15:sqref>'Q5'!$G$59:$G$69</c15:sqref>
                        </c15:formulaRef>
                      </c:ext>
                    </c:extLst>
                    <c:numCache>
                      <c:formatCode>General</c:formatCode>
                      <c:ptCount val="11"/>
                      <c:pt idx="0">
                        <c:v>85</c:v>
                      </c:pt>
                      <c:pt idx="1">
                        <c:v>96</c:v>
                      </c:pt>
                      <c:pt idx="2">
                        <c:v>54</c:v>
                      </c:pt>
                      <c:pt idx="3">
                        <c:v>47</c:v>
                      </c:pt>
                      <c:pt idx="4">
                        <c:v>151</c:v>
                      </c:pt>
                      <c:pt idx="5">
                        <c:v>107</c:v>
                      </c:pt>
                      <c:pt idx="6">
                        <c:v>44</c:v>
                      </c:pt>
                      <c:pt idx="7">
                        <c:v>179</c:v>
                      </c:pt>
                      <c:pt idx="8">
                        <c:v>85</c:v>
                      </c:pt>
                      <c:pt idx="9">
                        <c:v>114</c:v>
                      </c:pt>
                      <c:pt idx="10">
                        <c:v>36</c:v>
                      </c:pt>
                    </c:numCache>
                  </c:numRef>
                </c:val>
              </c15:ser>
            </c15:filteredBarSeries>
          </c:ext>
        </c:extLst>
      </c:barChart>
      <c:catAx>
        <c:axId val="136517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99888"/>
        <c:crosses val="autoZero"/>
        <c:auto val="1"/>
        <c:lblAlgn val="ctr"/>
        <c:lblOffset val="100"/>
        <c:noMultiLvlLbl val="0"/>
      </c:catAx>
      <c:valAx>
        <c:axId val="13679988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17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ED Branded Colors">
      <a:dk1>
        <a:sysClr val="windowText" lastClr="000000"/>
      </a:dk1>
      <a:lt1>
        <a:sysClr val="window" lastClr="FFFFFF"/>
      </a:lt1>
      <a:dk2>
        <a:srgbClr val="44546A"/>
      </a:dk2>
      <a:lt2>
        <a:srgbClr val="E7E6E6"/>
      </a:lt2>
      <a:accent1>
        <a:srgbClr val="003865"/>
      </a:accent1>
      <a:accent2>
        <a:srgbClr val="99AFC1"/>
      </a:accent2>
      <a:accent3>
        <a:srgbClr val="78BE20"/>
      </a:accent3>
      <a:accent4>
        <a:srgbClr val="A7D56E"/>
      </a:accent4>
      <a:accent5>
        <a:srgbClr val="DE6623"/>
      </a:accent5>
      <a:accent6>
        <a:srgbClr val="FFB819"/>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C478C-0BC2-4E23-82EF-B5962499D71F}">
  <ds:schemaRefs>
    <ds:schemaRef ds:uri="http://schemas.openxmlformats.org/officeDocument/2006/bibliography"/>
  </ds:schemaRefs>
</ds:datastoreItem>
</file>

<file path=customXml/itemProps2.xml><?xml version="1.0" encoding="utf-8"?>
<ds:datastoreItem xmlns:ds="http://schemas.openxmlformats.org/officeDocument/2006/customXml" ds:itemID="{BFBDDD53-9D52-4E4C-BC31-7D464A0E6BAD}"/>
</file>

<file path=customXml/itemProps3.xml><?xml version="1.0" encoding="utf-8"?>
<ds:datastoreItem xmlns:ds="http://schemas.openxmlformats.org/officeDocument/2006/customXml" ds:itemID="{756E9576-B6B7-4D66-AA2F-DAB9D9BC8720}"/>
</file>

<file path=customXml/itemProps4.xml><?xml version="1.0" encoding="utf-8"?>
<ds:datastoreItem xmlns:ds="http://schemas.openxmlformats.org/officeDocument/2006/customXml" ds:itemID="{200EDA4C-655C-4684-9652-92E0D86ADA60}"/>
</file>

<file path=docProps/app.xml><?xml version="1.0" encoding="utf-8"?>
<Properties xmlns="http://schemas.openxmlformats.org/officeDocument/2006/extended-properties" xmlns:vt="http://schemas.openxmlformats.org/officeDocument/2006/docPropsVTypes">
  <Template>Normal</Template>
  <TotalTime>2044</TotalTime>
  <Pages>25</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29719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Bendewald</dc:creator>
  <cp:keywords/>
  <dc:description/>
  <cp:lastModifiedBy>Bendewald, Ellen (DEED)</cp:lastModifiedBy>
  <cp:revision>62</cp:revision>
  <dcterms:created xsi:type="dcterms:W3CDTF">2017-04-04T19:37:00Z</dcterms:created>
  <dcterms:modified xsi:type="dcterms:W3CDTF">2017-04-25T14:57:00Z</dcterms:modified>
</cp:coreProperties>
</file>