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5F" w:rsidRPr="00070176" w:rsidRDefault="0066505F" w:rsidP="00182D58">
      <w:pPr>
        <w:pStyle w:val="Heading1"/>
        <w:rPr>
          <w:rFonts w:ascii="Times New Roman" w:hAnsi="Times New Roman" w:cs="Times New Roman"/>
          <w:color w:val="1F497D" w:themeColor="text2"/>
          <w:szCs w:val="48"/>
        </w:rPr>
      </w:pPr>
      <w:r>
        <w:rPr>
          <w:noProof/>
        </w:rPr>
        <w:drawing>
          <wp:inline distT="0" distB="0" distL="0" distR="0" wp14:anchorId="1C99B941" wp14:editId="5064BAFE">
            <wp:extent cx="1097280" cy="1054250"/>
            <wp:effectExtent l="0" t="0" r="7620" b="0"/>
            <wp:docPr id="3" name="Picture 3" descr="Minnesota WorkForce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traweb.deed.state.mn.us/images/WFClogo_PMS27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8" t="4667" r="23344" b="45457"/>
                    <a:stretch/>
                  </pic:blipFill>
                  <pic:spPr bwMode="auto">
                    <a:xfrm>
                      <a:off x="0" y="0"/>
                      <a:ext cx="1097280" cy="10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43F89">
        <w:br w:type="column"/>
      </w:r>
      <w:r w:rsidRPr="008D7662">
        <w:t>Customer Code of Conduct</w:t>
      </w:r>
    </w:p>
    <w:p w:rsidR="0066505F" w:rsidRPr="0066505F" w:rsidRDefault="0066505F" w:rsidP="00070176">
      <w:pPr>
        <w:pStyle w:val="Heading2"/>
      </w:pPr>
      <w:r w:rsidRPr="0066505F">
        <w:t xml:space="preserve">Welcome to the </w:t>
      </w:r>
      <w:proofErr w:type="spellStart"/>
      <w:r w:rsidRPr="0066505F">
        <w:t>WorkForce</w:t>
      </w:r>
      <w:proofErr w:type="spellEnd"/>
      <w:r w:rsidRPr="0066505F">
        <w:t xml:space="preserve"> Center!</w:t>
      </w:r>
    </w:p>
    <w:p w:rsidR="00022DFE" w:rsidRDefault="00022DFE" w:rsidP="00022DFE">
      <w:pPr>
        <w:pStyle w:val="Heading2"/>
      </w:pPr>
      <w:r>
        <w:t>We are committed to providing high quality services</w:t>
      </w:r>
      <w:r>
        <w:br/>
        <w:t>designed to meet the needs of our job seekers and employers.</w:t>
      </w:r>
    </w:p>
    <w:p w:rsidR="00022DFE" w:rsidRDefault="00022DFE" w:rsidP="00022DFE">
      <w:pPr>
        <w:pStyle w:val="Heading3"/>
        <w:sectPr w:rsidR="00022DFE" w:rsidSect="00C43F89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365F91" w:themeColor="accent1" w:themeShade="BF"/>
            <w:left w:val="single" w:sz="24" w:space="24" w:color="365F91" w:themeColor="accent1" w:themeShade="BF"/>
            <w:bottom w:val="single" w:sz="24" w:space="24" w:color="365F91" w:themeColor="accent1" w:themeShade="BF"/>
            <w:right w:val="single" w:sz="24" w:space="24" w:color="365F91" w:themeColor="accent1" w:themeShade="BF"/>
          </w:pgBorders>
          <w:cols w:num="2" w:space="720" w:equalWidth="0">
            <w:col w:w="2520" w:space="720"/>
            <w:col w:w="7560"/>
          </w:cols>
          <w:docGrid w:linePitch="360"/>
        </w:sectPr>
      </w:pPr>
    </w:p>
    <w:p w:rsidR="0066505F" w:rsidRPr="008D7662" w:rsidRDefault="00022DFE" w:rsidP="00022DFE">
      <w:pPr>
        <w:pStyle w:val="Heading3"/>
      </w:pPr>
      <w:r w:rsidRPr="00B05438">
        <w:t xml:space="preserve"> </w:t>
      </w:r>
      <w:r w:rsidR="0066505F" w:rsidRPr="00022DFE">
        <w:rPr>
          <w:b w:val="0"/>
        </w:rPr>
        <w:t xml:space="preserve">As a customer of the </w:t>
      </w:r>
      <w:proofErr w:type="spellStart"/>
      <w:r w:rsidR="0066505F" w:rsidRPr="00022DFE">
        <w:rPr>
          <w:b w:val="0"/>
        </w:rPr>
        <w:t>WorkForce</w:t>
      </w:r>
      <w:proofErr w:type="spellEnd"/>
      <w:r w:rsidR="0066505F" w:rsidRPr="00022DFE">
        <w:rPr>
          <w:b w:val="0"/>
        </w:rPr>
        <w:t xml:space="preserve"> Center,</w:t>
      </w:r>
      <w:r w:rsidR="0066505F" w:rsidRPr="00B05438">
        <w:t xml:space="preserve"> </w:t>
      </w:r>
      <w:r w:rsidR="0066505F" w:rsidRPr="008D7662">
        <w:t>I agree I will</w:t>
      </w:r>
      <w:r w:rsidR="0066505F">
        <w:t>:</w:t>
      </w:r>
    </w:p>
    <w:p w:rsidR="0066505F" w:rsidRDefault="0066505F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>Conduct myself in a manner that is profe</w:t>
      </w:r>
      <w:r w:rsidR="00022DFE">
        <w:rPr>
          <w:rFonts w:ascii="Arial" w:hAnsi="Arial" w:cs="Arial"/>
        </w:rPr>
        <w:t>ssional, polite, and respectful.</w:t>
      </w:r>
    </w:p>
    <w:p w:rsidR="00E8712E" w:rsidRPr="008D7662" w:rsidRDefault="00022DFE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>
        <w:rPr>
          <w:rFonts w:ascii="Arial" w:hAnsi="Arial" w:cs="Arial"/>
        </w:rPr>
        <w:t>Use appropriate language.</w:t>
      </w:r>
    </w:p>
    <w:p w:rsidR="0066505F" w:rsidRPr="008D7662" w:rsidRDefault="00022DFE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6505F" w:rsidRPr="008D7662">
        <w:rPr>
          <w:rFonts w:ascii="Arial" w:hAnsi="Arial" w:cs="Arial"/>
        </w:rPr>
        <w:t xml:space="preserve">hildren </w:t>
      </w:r>
      <w:r>
        <w:rPr>
          <w:rFonts w:ascii="Arial" w:hAnsi="Arial" w:cs="Arial"/>
        </w:rPr>
        <w:t>may not be left unattended, wander, or disrupt other job seekers or customers.</w:t>
      </w:r>
      <w:r w:rsidR="0066505F">
        <w:rPr>
          <w:rFonts w:ascii="Arial" w:hAnsi="Arial" w:cs="Arial"/>
        </w:rPr>
        <w:t xml:space="preserve"> </w:t>
      </w:r>
    </w:p>
    <w:p w:rsidR="0066505F" w:rsidRPr="008D7662" w:rsidRDefault="0066505F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90"/>
        <w:rPr>
          <w:rFonts w:ascii="Arial" w:hAnsi="Arial" w:cs="Arial"/>
        </w:rPr>
      </w:pPr>
      <w:r w:rsidRPr="008D7662">
        <w:rPr>
          <w:rFonts w:ascii="Arial" w:hAnsi="Arial" w:cs="Arial"/>
        </w:rPr>
        <w:t>Turn my cellphone to silent, vibrate, or off while in the Resource Area.</w:t>
      </w:r>
    </w:p>
    <w:p w:rsidR="0066505F" w:rsidRPr="008D7662" w:rsidRDefault="0066505F" w:rsidP="0066505F">
      <w:pPr>
        <w:pStyle w:val="Heading3"/>
      </w:pPr>
      <w:r w:rsidRPr="00B05438">
        <w:rPr>
          <w:b w:val="0"/>
        </w:rPr>
        <w:t xml:space="preserve">As a customer of the </w:t>
      </w:r>
      <w:proofErr w:type="spellStart"/>
      <w:r w:rsidRPr="00B05438">
        <w:rPr>
          <w:b w:val="0"/>
        </w:rPr>
        <w:t>WorkForce</w:t>
      </w:r>
      <w:proofErr w:type="spellEnd"/>
      <w:r w:rsidRPr="00B05438">
        <w:rPr>
          <w:b w:val="0"/>
        </w:rPr>
        <w:t xml:space="preserve"> Center,</w:t>
      </w:r>
      <w:r w:rsidRPr="008D7662">
        <w:t xml:space="preserve"> I agree I will not:</w:t>
      </w:r>
    </w:p>
    <w:p w:rsidR="0066505F" w:rsidRPr="008D7662" w:rsidRDefault="0066505F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90"/>
        <w:rPr>
          <w:rFonts w:ascii="Arial" w:hAnsi="Arial" w:cs="Arial"/>
        </w:rPr>
      </w:pPr>
      <w:r w:rsidRPr="008D7662">
        <w:rPr>
          <w:rFonts w:ascii="Arial" w:hAnsi="Arial" w:cs="Arial"/>
        </w:rPr>
        <w:t>T</w:t>
      </w:r>
      <w:r>
        <w:rPr>
          <w:rFonts w:ascii="Arial" w:hAnsi="Arial" w:cs="Arial"/>
        </w:rPr>
        <w:t>hreaten or t</w:t>
      </w:r>
      <w:r w:rsidRPr="008D7662">
        <w:rPr>
          <w:rFonts w:ascii="Arial" w:hAnsi="Arial" w:cs="Arial"/>
        </w:rPr>
        <w:t>ake part in physical or verbal conflict with staff or other customers</w:t>
      </w:r>
      <w:r w:rsidR="00022DFE">
        <w:rPr>
          <w:rFonts w:ascii="Arial" w:hAnsi="Arial" w:cs="Arial"/>
        </w:rPr>
        <w:t>.</w:t>
      </w:r>
    </w:p>
    <w:p w:rsidR="0066505F" w:rsidRDefault="0066505F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90"/>
        <w:rPr>
          <w:rFonts w:ascii="Arial" w:hAnsi="Arial" w:cs="Arial"/>
        </w:rPr>
      </w:pPr>
      <w:r>
        <w:rPr>
          <w:rFonts w:ascii="Arial" w:hAnsi="Arial" w:cs="Arial"/>
        </w:rPr>
        <w:t xml:space="preserve">Use threatening </w:t>
      </w:r>
      <w:r w:rsidR="00FA52DA">
        <w:rPr>
          <w:rFonts w:ascii="Arial" w:hAnsi="Arial" w:cs="Arial"/>
        </w:rPr>
        <w:t xml:space="preserve">or abusive </w:t>
      </w:r>
      <w:r>
        <w:rPr>
          <w:rFonts w:ascii="Arial" w:hAnsi="Arial" w:cs="Arial"/>
        </w:rPr>
        <w:t>language</w:t>
      </w:r>
      <w:r w:rsidR="00FA52DA">
        <w:rPr>
          <w:rFonts w:ascii="Arial" w:hAnsi="Arial" w:cs="Arial"/>
        </w:rPr>
        <w:t>/gestures</w:t>
      </w:r>
      <w:r>
        <w:rPr>
          <w:rFonts w:ascii="Arial" w:hAnsi="Arial" w:cs="Arial"/>
        </w:rPr>
        <w:t>, yell,</w:t>
      </w:r>
      <w:r w:rsidR="00FA52DA">
        <w:rPr>
          <w:rFonts w:ascii="Arial" w:hAnsi="Arial" w:cs="Arial"/>
        </w:rPr>
        <w:t xml:space="preserve"> or</w:t>
      </w:r>
      <w:r w:rsidR="00022DFE">
        <w:rPr>
          <w:rFonts w:ascii="Arial" w:hAnsi="Arial" w:cs="Arial"/>
        </w:rPr>
        <w:t xml:space="preserve"> swear.</w:t>
      </w:r>
    </w:p>
    <w:p w:rsidR="0066505F" w:rsidRPr="008D7662" w:rsidRDefault="0066505F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>Bring illegal we</w:t>
      </w:r>
      <w:r w:rsidR="00022DFE">
        <w:rPr>
          <w:rFonts w:ascii="Arial" w:hAnsi="Arial" w:cs="Arial"/>
        </w:rPr>
        <w:t xml:space="preserve">apons into the </w:t>
      </w:r>
      <w:proofErr w:type="spellStart"/>
      <w:r w:rsidR="00022DFE">
        <w:rPr>
          <w:rFonts w:ascii="Arial" w:hAnsi="Arial" w:cs="Arial"/>
        </w:rPr>
        <w:t>WorkForce</w:t>
      </w:r>
      <w:proofErr w:type="spellEnd"/>
      <w:r w:rsidR="00022DFE">
        <w:rPr>
          <w:rFonts w:ascii="Arial" w:hAnsi="Arial" w:cs="Arial"/>
        </w:rPr>
        <w:t xml:space="preserve"> Center.</w:t>
      </w:r>
    </w:p>
    <w:p w:rsidR="0066505F" w:rsidRPr="008D7662" w:rsidRDefault="0066505F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>Bring pets or animals into th</w:t>
      </w:r>
      <w:bookmarkStart w:id="0" w:name="_GoBack"/>
      <w:bookmarkEnd w:id="0"/>
      <w:r w:rsidRPr="008D7662">
        <w:rPr>
          <w:rFonts w:ascii="Arial" w:hAnsi="Arial" w:cs="Arial"/>
        </w:rPr>
        <w:t xml:space="preserve">e </w:t>
      </w:r>
      <w:proofErr w:type="spellStart"/>
      <w:r w:rsidRPr="008D7662">
        <w:rPr>
          <w:rFonts w:ascii="Arial" w:hAnsi="Arial" w:cs="Arial"/>
        </w:rPr>
        <w:t>WorkForce</w:t>
      </w:r>
      <w:proofErr w:type="spellEnd"/>
      <w:r w:rsidRPr="008D7662">
        <w:rPr>
          <w:rFonts w:ascii="Arial" w:hAnsi="Arial" w:cs="Arial"/>
        </w:rPr>
        <w:t xml:space="preserve"> Ce</w:t>
      </w:r>
      <w:r w:rsidR="00022DFE">
        <w:rPr>
          <w:rFonts w:ascii="Arial" w:hAnsi="Arial" w:cs="Arial"/>
        </w:rPr>
        <w:t>nter (Service Animals Welcome).</w:t>
      </w:r>
    </w:p>
    <w:p w:rsidR="0066505F" w:rsidRPr="008D7662" w:rsidRDefault="0066505F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90"/>
        <w:rPr>
          <w:rFonts w:ascii="Arial" w:hAnsi="Arial" w:cs="Arial"/>
        </w:rPr>
      </w:pPr>
      <w:r w:rsidRPr="008D7662">
        <w:rPr>
          <w:rFonts w:ascii="Arial" w:hAnsi="Arial" w:cs="Arial"/>
        </w:rPr>
        <w:t xml:space="preserve">Be </w:t>
      </w:r>
      <w:r w:rsidR="00241D42">
        <w:rPr>
          <w:rFonts w:ascii="Arial" w:hAnsi="Arial" w:cs="Arial"/>
        </w:rPr>
        <w:t xml:space="preserve">in possession of or </w:t>
      </w:r>
      <w:r w:rsidRPr="008D7662">
        <w:rPr>
          <w:rFonts w:ascii="Arial" w:hAnsi="Arial" w:cs="Arial"/>
        </w:rPr>
        <w:t>under the influence of alcohol or illegal dru</w:t>
      </w:r>
      <w:r w:rsidR="00022DFE">
        <w:rPr>
          <w:rFonts w:ascii="Arial" w:hAnsi="Arial" w:cs="Arial"/>
        </w:rPr>
        <w:t>gs.</w:t>
      </w:r>
    </w:p>
    <w:p w:rsidR="0066505F" w:rsidRPr="008D7662" w:rsidRDefault="0066505F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90"/>
        <w:rPr>
          <w:rFonts w:ascii="Arial" w:hAnsi="Arial" w:cs="Arial"/>
        </w:rPr>
      </w:pPr>
      <w:r w:rsidRPr="008D7662">
        <w:rPr>
          <w:rFonts w:ascii="Arial" w:hAnsi="Arial" w:cs="Arial"/>
        </w:rPr>
        <w:t>Smoke or use tobacco products (including e-cigarettes or vapor devices).</w:t>
      </w:r>
    </w:p>
    <w:p w:rsidR="0066505F" w:rsidRPr="00B05438" w:rsidRDefault="0066505F" w:rsidP="0066505F">
      <w:pPr>
        <w:pStyle w:val="Heading3"/>
        <w:rPr>
          <w:b w:val="0"/>
        </w:rPr>
      </w:pPr>
      <w:r w:rsidRPr="00B05438">
        <w:rPr>
          <w:b w:val="0"/>
        </w:rPr>
        <w:t xml:space="preserve">Personal use of </w:t>
      </w:r>
      <w:proofErr w:type="spellStart"/>
      <w:r w:rsidRPr="00B05438">
        <w:rPr>
          <w:b w:val="0"/>
        </w:rPr>
        <w:t>WorkForce</w:t>
      </w:r>
      <w:proofErr w:type="spellEnd"/>
      <w:r w:rsidRPr="00B05438">
        <w:rPr>
          <w:b w:val="0"/>
        </w:rPr>
        <w:t xml:space="preserve"> Center Resource Area equipment (including computers, printers, copiers, fax machines, telephones, etc.) is not allowed. Equipment may only be used for </w:t>
      </w:r>
      <w:r w:rsidRPr="00B05438">
        <w:t>Job Search related activities</w:t>
      </w:r>
      <w:r w:rsidRPr="00B05438">
        <w:rPr>
          <w:b w:val="0"/>
        </w:rPr>
        <w:t>, including but not limited to the following:</w:t>
      </w:r>
    </w:p>
    <w:p w:rsidR="0066505F" w:rsidRPr="008D7662" w:rsidRDefault="0066505F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>W</w:t>
      </w:r>
      <w:r w:rsidR="00022DFE">
        <w:rPr>
          <w:rFonts w:ascii="Arial" w:hAnsi="Arial" w:cs="Arial"/>
        </w:rPr>
        <w:t>riting resumes or cover letters.</w:t>
      </w:r>
    </w:p>
    <w:p w:rsidR="0066505F" w:rsidRPr="008D7662" w:rsidRDefault="00022DFE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>
        <w:rPr>
          <w:rFonts w:ascii="Arial" w:hAnsi="Arial" w:cs="Arial"/>
        </w:rPr>
        <w:t>Searching job databases.</w:t>
      </w:r>
    </w:p>
    <w:p w:rsidR="0066505F" w:rsidRPr="008D7662" w:rsidRDefault="0066505F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 xml:space="preserve">Researching companies, </w:t>
      </w:r>
      <w:r w:rsidR="00022DFE">
        <w:rPr>
          <w:rFonts w:ascii="Arial" w:hAnsi="Arial" w:cs="Arial"/>
        </w:rPr>
        <w:t>careers, or educational options.</w:t>
      </w:r>
    </w:p>
    <w:p w:rsidR="0066505F" w:rsidRPr="008D7662" w:rsidRDefault="0066505F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>Conducting career asse</w:t>
      </w:r>
      <w:r w:rsidR="00022DFE">
        <w:rPr>
          <w:rFonts w:ascii="Arial" w:hAnsi="Arial" w:cs="Arial"/>
        </w:rPr>
        <w:t>ssments or developing job goals.</w:t>
      </w:r>
    </w:p>
    <w:p w:rsidR="0066505F" w:rsidRPr="008D7662" w:rsidRDefault="0066505F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 xml:space="preserve">Completing online applications for </w:t>
      </w:r>
      <w:r w:rsidR="00022DFE">
        <w:rPr>
          <w:rFonts w:ascii="Arial" w:hAnsi="Arial" w:cs="Arial"/>
        </w:rPr>
        <w:t>employment or training programs.</w:t>
      </w:r>
    </w:p>
    <w:p w:rsidR="0066505F" w:rsidRPr="008D7662" w:rsidRDefault="0066505F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>Registerin</w:t>
      </w:r>
      <w:r w:rsidR="00022DFE">
        <w:rPr>
          <w:rFonts w:ascii="Arial" w:hAnsi="Arial" w:cs="Arial"/>
        </w:rPr>
        <w:t>g for job and training programs.</w:t>
      </w:r>
    </w:p>
    <w:p w:rsidR="0066505F" w:rsidRPr="008D7662" w:rsidRDefault="0066505F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>Finding or using veterans’ services (ve</w:t>
      </w:r>
      <w:r w:rsidR="00022DFE">
        <w:rPr>
          <w:rFonts w:ascii="Arial" w:hAnsi="Arial" w:cs="Arial"/>
        </w:rPr>
        <w:t>terans receive priority access).</w:t>
      </w:r>
    </w:p>
    <w:p w:rsidR="0066505F" w:rsidRPr="008D7662" w:rsidRDefault="0066505F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>Conducting Un</w:t>
      </w:r>
      <w:r w:rsidR="00022DFE">
        <w:rPr>
          <w:rFonts w:ascii="Arial" w:hAnsi="Arial" w:cs="Arial"/>
        </w:rPr>
        <w:t>employment Insurance activities.</w:t>
      </w:r>
    </w:p>
    <w:p w:rsidR="0066505F" w:rsidRPr="008D7662" w:rsidRDefault="0066505F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>Completing financial aid applications</w:t>
      </w:r>
      <w:r w:rsidR="00022DFE">
        <w:rPr>
          <w:rFonts w:ascii="Arial" w:hAnsi="Arial" w:cs="Arial"/>
        </w:rPr>
        <w:t>.</w:t>
      </w:r>
    </w:p>
    <w:p w:rsidR="0066505F" w:rsidRPr="008D7662" w:rsidRDefault="0066505F" w:rsidP="006650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>Viewing job-related resources including community resources</w:t>
      </w:r>
      <w:r>
        <w:rPr>
          <w:rFonts w:ascii="Arial" w:hAnsi="Arial" w:cs="Arial"/>
        </w:rPr>
        <w:t>.</w:t>
      </w:r>
    </w:p>
    <w:p w:rsidR="0066505F" w:rsidRPr="00B05438" w:rsidRDefault="0066505F" w:rsidP="0066505F">
      <w:pPr>
        <w:pStyle w:val="Heading3"/>
        <w:rPr>
          <w:b w:val="0"/>
        </w:rPr>
      </w:pPr>
      <w:r w:rsidRPr="00B05438">
        <w:rPr>
          <w:b w:val="0"/>
        </w:rPr>
        <w:t xml:space="preserve">Email and social media websites, such as LinkedIn and Facebook, may only be used for </w:t>
      </w:r>
      <w:r w:rsidRPr="00B05438">
        <w:t>job search related activities</w:t>
      </w:r>
      <w:r w:rsidRPr="00B05438">
        <w:rPr>
          <w:b w:val="0"/>
        </w:rPr>
        <w:t>, such as:</w:t>
      </w:r>
    </w:p>
    <w:p w:rsidR="0066505F" w:rsidRPr="008D7662" w:rsidRDefault="0066505F" w:rsidP="0066505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 xml:space="preserve">Sending resumes, cover letters, and employment related </w:t>
      </w:r>
      <w:r w:rsidR="00022DFE">
        <w:rPr>
          <w:rFonts w:ascii="Arial" w:hAnsi="Arial" w:cs="Arial"/>
        </w:rPr>
        <w:t>applications.</w:t>
      </w:r>
    </w:p>
    <w:p w:rsidR="0066505F" w:rsidRPr="008D7662" w:rsidRDefault="0066505F" w:rsidP="0066505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>Re</w:t>
      </w:r>
      <w:r w:rsidR="00022DFE">
        <w:rPr>
          <w:rFonts w:ascii="Arial" w:hAnsi="Arial" w:cs="Arial"/>
        </w:rPr>
        <w:t>ceiving notice of job openings.</w:t>
      </w:r>
    </w:p>
    <w:p w:rsidR="0066505F" w:rsidRPr="008D7662" w:rsidRDefault="0066505F" w:rsidP="0066505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>Receiv</w:t>
      </w:r>
      <w:r w:rsidR="00022DFE">
        <w:rPr>
          <w:rFonts w:ascii="Arial" w:hAnsi="Arial" w:cs="Arial"/>
        </w:rPr>
        <w:t>ing applications from employers.</w:t>
      </w:r>
    </w:p>
    <w:p w:rsidR="0066505F" w:rsidRPr="008D7662" w:rsidRDefault="0066505F" w:rsidP="0066505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>Getting additional i</w:t>
      </w:r>
      <w:r w:rsidR="00022DFE">
        <w:rPr>
          <w:rFonts w:ascii="Arial" w:hAnsi="Arial" w:cs="Arial"/>
        </w:rPr>
        <w:t>nformation regarding employment.</w:t>
      </w:r>
    </w:p>
    <w:p w:rsidR="0066505F" w:rsidRPr="008D7662" w:rsidRDefault="0066505F" w:rsidP="0066505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>Answering questio</w:t>
      </w:r>
      <w:r w:rsidR="00022DFE">
        <w:rPr>
          <w:rFonts w:ascii="Arial" w:hAnsi="Arial" w:cs="Arial"/>
        </w:rPr>
        <w:t>ns from potential employers.</w:t>
      </w:r>
    </w:p>
    <w:p w:rsidR="0066505F" w:rsidRPr="008D7662" w:rsidRDefault="0066505F" w:rsidP="0066505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360"/>
        <w:rPr>
          <w:rFonts w:ascii="Arial" w:hAnsi="Arial" w:cs="Arial"/>
        </w:rPr>
      </w:pPr>
      <w:r w:rsidRPr="008D7662">
        <w:rPr>
          <w:rFonts w:ascii="Arial" w:hAnsi="Arial" w:cs="Arial"/>
        </w:rPr>
        <w:t>Connecting with po</w:t>
      </w:r>
      <w:r>
        <w:rPr>
          <w:rFonts w:ascii="Arial" w:hAnsi="Arial" w:cs="Arial"/>
        </w:rPr>
        <w:t>tential employers or job leads.</w:t>
      </w:r>
    </w:p>
    <w:p w:rsidR="0066505F" w:rsidRPr="00E5563F" w:rsidRDefault="0066505F" w:rsidP="00B05438">
      <w:pPr>
        <w:autoSpaceDE w:val="0"/>
        <w:autoSpaceDN w:val="0"/>
        <w:adjustRightInd w:val="0"/>
        <w:spacing w:before="120"/>
        <w:ind w:right="-360"/>
        <w:rPr>
          <w:rStyle w:val="Emphasis"/>
        </w:rPr>
      </w:pPr>
      <w:r w:rsidRPr="00E5563F">
        <w:rPr>
          <w:rStyle w:val="Emphasis"/>
        </w:rPr>
        <w:t xml:space="preserve">I understand that staff have a right to monitor my use of resources and equipment in the Resource Area. Threats to staff or other customers will not be tolerated. I understand that if I </w:t>
      </w:r>
      <w:r w:rsidR="00DF17B7">
        <w:rPr>
          <w:rStyle w:val="Emphasis"/>
        </w:rPr>
        <w:t xml:space="preserve">   </w:t>
      </w:r>
      <w:r w:rsidRPr="00E5563F">
        <w:rPr>
          <w:rStyle w:val="Emphasis"/>
        </w:rPr>
        <w:t xml:space="preserve">fail to follow the rules as stated in the Customer Code of Conduct it may result in loss of </w:t>
      </w:r>
      <w:proofErr w:type="spellStart"/>
      <w:r w:rsidRPr="00E5563F">
        <w:rPr>
          <w:rStyle w:val="Emphasis"/>
        </w:rPr>
        <w:t>WorkForce</w:t>
      </w:r>
      <w:proofErr w:type="spellEnd"/>
      <w:r w:rsidRPr="00E5563F">
        <w:rPr>
          <w:rStyle w:val="Emphasis"/>
        </w:rPr>
        <w:t xml:space="preserve"> Center (WFC) privileges, including suspension from the WFC for up to one year.</w:t>
      </w:r>
    </w:p>
    <w:p w:rsidR="0066505F" w:rsidRPr="008D7662" w:rsidRDefault="0066505F" w:rsidP="0066505F">
      <w:pPr>
        <w:autoSpaceDE w:val="0"/>
        <w:autoSpaceDN w:val="0"/>
        <w:adjustRightInd w:val="0"/>
        <w:spacing w:before="240"/>
        <w:ind w:right="-360"/>
        <w:rPr>
          <w:rFonts w:ascii="Arial" w:hAnsi="Arial" w:cs="Arial"/>
          <w:sz w:val="20"/>
          <w:szCs w:val="16"/>
        </w:rPr>
      </w:pPr>
      <w:r w:rsidRPr="008D7662">
        <w:rPr>
          <w:rFonts w:ascii="Arial" w:hAnsi="Arial" w:cs="Arial"/>
          <w:sz w:val="20"/>
          <w:szCs w:val="16"/>
        </w:rPr>
        <w:t>This material is available in alternative formats for</w:t>
      </w:r>
      <w:r>
        <w:rPr>
          <w:rFonts w:ascii="Arial" w:hAnsi="Arial" w:cs="Arial"/>
          <w:sz w:val="20"/>
          <w:szCs w:val="16"/>
        </w:rPr>
        <w:t xml:space="preserve"> individuals with disabilities.</w:t>
      </w:r>
    </w:p>
    <w:p w:rsidR="00CC56E8" w:rsidRPr="0066505F" w:rsidRDefault="0066505F" w:rsidP="0066505F">
      <w:pPr>
        <w:autoSpaceDE w:val="0"/>
        <w:autoSpaceDN w:val="0"/>
        <w:adjustRightInd w:val="0"/>
        <w:ind w:right="-360"/>
        <w:jc w:val="right"/>
        <w:rPr>
          <w:rFonts w:ascii="Arial" w:hAnsi="Arial" w:cs="Arial"/>
          <w:sz w:val="16"/>
          <w:szCs w:val="16"/>
        </w:rPr>
      </w:pPr>
      <w:r w:rsidRPr="008D7662">
        <w:rPr>
          <w:rFonts w:ascii="Arial" w:hAnsi="Arial" w:cs="Arial"/>
          <w:sz w:val="16"/>
          <w:szCs w:val="16"/>
        </w:rPr>
        <w:t xml:space="preserve">Revised </w:t>
      </w:r>
      <w:r w:rsidR="00022DFE">
        <w:rPr>
          <w:rFonts w:ascii="Arial" w:hAnsi="Arial" w:cs="Arial"/>
          <w:sz w:val="16"/>
          <w:szCs w:val="16"/>
        </w:rPr>
        <w:t>May</w:t>
      </w:r>
      <w:r w:rsidRPr="008D7662">
        <w:rPr>
          <w:rFonts w:ascii="Arial" w:hAnsi="Arial" w:cs="Arial"/>
          <w:sz w:val="16"/>
          <w:szCs w:val="16"/>
        </w:rPr>
        <w:t xml:space="preserve"> 201</w:t>
      </w:r>
      <w:r>
        <w:rPr>
          <w:rFonts w:ascii="Arial" w:hAnsi="Arial" w:cs="Arial"/>
          <w:sz w:val="16"/>
          <w:szCs w:val="16"/>
        </w:rPr>
        <w:t xml:space="preserve">6    </w:t>
      </w:r>
      <w:r w:rsidRPr="00022DFE">
        <w:rPr>
          <w:rFonts w:ascii="Arial" w:hAnsi="Arial" w:cs="Arial"/>
          <w:color w:val="FFFFFF" w:themeColor="background1"/>
          <w:sz w:val="16"/>
          <w:szCs w:val="16"/>
        </w:rPr>
        <w:t>.</w:t>
      </w:r>
    </w:p>
    <w:sectPr w:rsidR="00CC56E8" w:rsidRPr="0066505F" w:rsidSect="00F84F0D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365F91" w:themeColor="accent1" w:themeShade="BF"/>
        <w:left w:val="single" w:sz="24" w:space="24" w:color="365F91" w:themeColor="accent1" w:themeShade="BF"/>
        <w:bottom w:val="single" w:sz="24" w:space="24" w:color="365F91" w:themeColor="accent1" w:themeShade="BF"/>
        <w:right w:val="single" w:sz="24" w:space="24" w:color="365F91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D4735"/>
    <w:multiLevelType w:val="hybridMultilevel"/>
    <w:tmpl w:val="F946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E27B5"/>
    <w:multiLevelType w:val="hybridMultilevel"/>
    <w:tmpl w:val="1D14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5F"/>
    <w:rsid w:val="00022DFE"/>
    <w:rsid w:val="00070176"/>
    <w:rsid w:val="00180E7E"/>
    <w:rsid w:val="00182D58"/>
    <w:rsid w:val="00207D46"/>
    <w:rsid w:val="00241D42"/>
    <w:rsid w:val="0040337D"/>
    <w:rsid w:val="0066505F"/>
    <w:rsid w:val="0070006F"/>
    <w:rsid w:val="00862769"/>
    <w:rsid w:val="00902815"/>
    <w:rsid w:val="00B05438"/>
    <w:rsid w:val="00C43F89"/>
    <w:rsid w:val="00DF17B7"/>
    <w:rsid w:val="00E8712E"/>
    <w:rsid w:val="00FA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1B17A-F5E3-4994-8860-FD1D3953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05F"/>
    <w:pPr>
      <w:keepNext/>
      <w:keepLines/>
      <w:spacing w:after="12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05F"/>
    <w:pPr>
      <w:autoSpaceDE w:val="0"/>
      <w:autoSpaceDN w:val="0"/>
      <w:adjustRightInd w:val="0"/>
      <w:ind w:right="-360"/>
      <w:jc w:val="center"/>
      <w:outlineLvl w:val="1"/>
    </w:pPr>
    <w:rPr>
      <w:rFonts w:ascii="Arial" w:hAnsi="Arial"/>
      <w:color w:val="365F91" w:themeColor="accent1" w:themeShade="BF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0176"/>
    <w:pPr>
      <w:keepNext/>
      <w:keepLines/>
      <w:spacing w:before="240" w:after="120"/>
      <w:outlineLvl w:val="2"/>
    </w:pPr>
    <w:rPr>
      <w:rFonts w:ascii="Arial" w:eastAsiaTheme="majorEastAsia" w:hAnsi="Arial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05F"/>
    <w:rPr>
      <w:rFonts w:ascii="Arial" w:eastAsiaTheme="majorEastAsia" w:hAnsi="Arial" w:cstheme="majorBidi"/>
      <w:b/>
      <w:bCs/>
      <w:color w:val="365F91" w:themeColor="accent1" w:themeShade="BF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505F"/>
    <w:rPr>
      <w:rFonts w:ascii="Arial" w:eastAsia="Times New Roman" w:hAnsi="Arial" w:cs="Times New Roman"/>
      <w:color w:val="365F91" w:themeColor="accent1" w:themeShade="BF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0176"/>
    <w:rPr>
      <w:rFonts w:ascii="Arial" w:eastAsiaTheme="majorEastAsia" w:hAnsi="Arial" w:cstheme="majorBid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6505F"/>
    <w:pPr>
      <w:ind w:left="720"/>
      <w:contextualSpacing/>
    </w:pPr>
  </w:style>
  <w:style w:type="paragraph" w:styleId="Subtitle">
    <w:name w:val="Subtitle"/>
    <w:basedOn w:val="Title"/>
    <w:next w:val="Normal"/>
    <w:link w:val="SubtitleChar"/>
    <w:uiPriority w:val="11"/>
    <w:qFormat/>
    <w:rsid w:val="0066505F"/>
    <w:pPr>
      <w:keepNext/>
      <w:keepLines/>
      <w:spacing w:after="120"/>
      <w:contextualSpacing w:val="0"/>
      <w:jc w:val="center"/>
      <w:outlineLvl w:val="0"/>
    </w:pPr>
    <w:rPr>
      <w:rFonts w:ascii="Times New Roman" w:hAnsi="Times New Roman" w:cs="Times New Roman"/>
      <w:bCs/>
      <w:i/>
      <w:color w:val="1F497D" w:themeColor="text2"/>
      <w:spacing w:val="0"/>
      <w:kern w:val="0"/>
      <w:sz w:val="24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6505F"/>
    <w:rPr>
      <w:rFonts w:ascii="Times New Roman" w:eastAsiaTheme="majorEastAsia" w:hAnsi="Times New Roman" w:cs="Times New Roman"/>
      <w:bCs/>
      <w:i/>
      <w:color w:val="1F497D" w:themeColor="text2"/>
      <w:sz w:val="24"/>
      <w:szCs w:val="48"/>
    </w:rPr>
  </w:style>
  <w:style w:type="character" w:styleId="Emphasis">
    <w:name w:val="Emphasis"/>
    <w:uiPriority w:val="20"/>
    <w:qFormat/>
    <w:rsid w:val="0066505F"/>
    <w:rPr>
      <w:rFonts w:ascii="Arial" w:hAnsi="Arial" w:cs="Arial"/>
      <w:b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6650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2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Code of Conduct</vt:lpstr>
    </vt:vector>
  </TitlesOfParts>
  <Company>DEED - MN Dept of Employment &amp; Economic Development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Code of Conduct</dc:title>
  <dc:subject/>
  <dc:creator>Office of Diversity and Equal Opportunity/Kimberly Malone</dc:creator>
  <cp:keywords/>
  <dc:description/>
  <cp:lastModifiedBy>Kimberly Malone</cp:lastModifiedBy>
  <cp:revision>11</cp:revision>
  <cp:lastPrinted>2016-01-27T18:32:00Z</cp:lastPrinted>
  <dcterms:created xsi:type="dcterms:W3CDTF">2016-01-27T14:21:00Z</dcterms:created>
  <dcterms:modified xsi:type="dcterms:W3CDTF">2016-05-16T16:25:00Z</dcterms:modified>
</cp:coreProperties>
</file>