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99" w:rsidRPr="001B1B1B" w:rsidRDefault="00F55799" w:rsidP="001B1B1B">
      <w:pPr>
        <w:pStyle w:val="Heading1"/>
      </w:pPr>
      <w:r w:rsidRPr="001B1B1B">
        <w:t xml:space="preserve">Guide (Matrix) for Allowable and Unallowable </w:t>
      </w:r>
      <w:r w:rsidR="00556975" w:rsidRPr="001B1B1B">
        <w:br/>
      </w:r>
      <w:r w:rsidRPr="001B1B1B">
        <w:t>Budget Cost Categories</w:t>
      </w:r>
      <w:r w:rsidR="00E84767" w:rsidRPr="001B1B1B">
        <w:t xml:space="preserve"> </w:t>
      </w:r>
    </w:p>
    <w:p w:rsidR="00E84767" w:rsidRPr="001B1B1B" w:rsidRDefault="00E84767" w:rsidP="001B1B1B">
      <w:r w:rsidRPr="001B1B1B">
        <w:t xml:space="preserve">This guide is based on Uniform Guidance 2 CFR 200 and WIOA Adult and Dislocated Worker-related law, both in 2014. In addition, this guide includes Minnesota’s model. Users of this guide are cautioned that changes may be in order as clarification of what is allowable by cost category becomes available and interpretations are made. Unless otherwise noted, Uniform Guidance regulations 2 CFR will be noted as UG 200.XXX and WIOA Law changes </w:t>
      </w:r>
      <w:r w:rsidR="009A49FD" w:rsidRPr="001B1B1B">
        <w:t>are</w:t>
      </w:r>
      <w:r w:rsidRPr="001B1B1B">
        <w:t xml:space="preserve"> noted as WIOA. </w:t>
      </w:r>
    </w:p>
    <w:p w:rsidR="00E84767" w:rsidRPr="008A64B3" w:rsidRDefault="00E84767" w:rsidP="001B1B1B">
      <w:r w:rsidRPr="008A64B3">
        <w:t xml:space="preserve">Note: The first four cost categories below are the cost categories used in </w:t>
      </w:r>
      <w:proofErr w:type="gramStart"/>
      <w:r w:rsidRPr="008A64B3">
        <w:t>the majority of</w:t>
      </w:r>
      <w:proofErr w:type="gramEnd"/>
      <w:r w:rsidRPr="008A64B3">
        <w:t xml:space="preserve"> the state and federal adult-related and dislocated worker grant awards issued from the Employment and Training Programs (ETP) Division. The rest of the cost categories are alphabetic, and if allowable in your grant, will fall within the first four cost categories. </w:t>
      </w:r>
    </w:p>
    <w:p w:rsidR="00F55799" w:rsidRPr="008A64B3" w:rsidRDefault="00E84767" w:rsidP="001B1B1B">
      <w:pPr>
        <w:rPr>
          <w:rFonts w:cs="Calibri"/>
          <w:color w:val="000000"/>
        </w:rPr>
      </w:pPr>
      <w:r w:rsidRPr="008A64B3">
        <w:t>Note: An UNALLOWABLE COST section has been added at the end of this matrix.</w:t>
      </w:r>
    </w:p>
    <w:tbl>
      <w:tblPr>
        <w:tblW w:w="10800" w:type="dxa"/>
        <w:tblInd w:w="-252" w:type="dxa"/>
        <w:tblLayout w:type="fixed"/>
        <w:tblCellMar>
          <w:left w:w="18" w:type="dxa"/>
          <w:right w:w="18" w:type="dxa"/>
        </w:tblCellMar>
        <w:tblLook w:val="0000" w:firstRow="0" w:lastRow="0" w:firstColumn="0" w:lastColumn="0" w:noHBand="0" w:noVBand="0"/>
      </w:tblPr>
      <w:tblGrid>
        <w:gridCol w:w="2424"/>
        <w:gridCol w:w="699"/>
        <w:gridCol w:w="810"/>
        <w:gridCol w:w="720"/>
        <w:gridCol w:w="900"/>
        <w:gridCol w:w="810"/>
        <w:gridCol w:w="837"/>
        <w:gridCol w:w="3600"/>
      </w:tblGrid>
      <w:tr w:rsidR="00593DCB" w:rsidRPr="000B7024" w:rsidTr="00A518A4">
        <w:trPr>
          <w:cantSplit/>
          <w:tblHeader/>
        </w:trPr>
        <w:tc>
          <w:tcPr>
            <w:tcW w:w="2424"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9955D7" w:rsidRDefault="00593DCB" w:rsidP="006A4D99">
            <w:pPr>
              <w:spacing w:after="0"/>
              <w:rPr>
                <w:b/>
                <w:color w:val="385623" w:themeColor="accent6" w:themeShade="80"/>
                <w:sz w:val="32"/>
              </w:rPr>
            </w:pPr>
            <w:r w:rsidRPr="009955D7">
              <w:rPr>
                <w:b/>
                <w:color w:val="385623" w:themeColor="accent6" w:themeShade="80"/>
                <w:sz w:val="32"/>
              </w:rPr>
              <w:t>ALLOWABLE COSTS</w:t>
            </w:r>
          </w:p>
        </w:tc>
        <w:tc>
          <w:tcPr>
            <w:tcW w:w="1509" w:type="dxa"/>
            <w:gridSpan w:val="2"/>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jc w:val="center"/>
              <w:rPr>
                <w:b/>
              </w:rPr>
            </w:pPr>
            <w:r w:rsidRPr="006A4D99">
              <w:rPr>
                <w:b/>
              </w:rPr>
              <w:t>DOL Model</w:t>
            </w:r>
          </w:p>
        </w:tc>
        <w:tc>
          <w:tcPr>
            <w:tcW w:w="3267" w:type="dxa"/>
            <w:gridSpan w:val="4"/>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jc w:val="center"/>
              <w:rPr>
                <w:b/>
              </w:rPr>
            </w:pPr>
            <w:r w:rsidRPr="006A4D99">
              <w:rPr>
                <w:b/>
              </w:rPr>
              <w:t>Minnesota Model</w:t>
            </w:r>
          </w:p>
        </w:tc>
        <w:tc>
          <w:tcPr>
            <w:tcW w:w="3600" w:type="dxa"/>
            <w:vMerge w:val="restart"/>
            <w:tcBorders>
              <w:top w:val="single" w:sz="7" w:space="0" w:color="000000"/>
              <w:left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A518A4">
            <w:pPr>
              <w:spacing w:after="0"/>
              <w:jc w:val="center"/>
              <w:rPr>
                <w:b/>
                <w:sz w:val="20"/>
                <w:szCs w:val="20"/>
              </w:rPr>
            </w:pPr>
            <w:r w:rsidRPr="006A4D99">
              <w:rPr>
                <w:b/>
              </w:rPr>
              <w:t>Notes/Comments</w:t>
            </w:r>
          </w:p>
        </w:tc>
      </w:tr>
      <w:tr w:rsidR="00593DCB" w:rsidRPr="000B7024" w:rsidTr="006A4D99">
        <w:trPr>
          <w:cantSplit/>
          <w:tblHeader/>
        </w:trPr>
        <w:tc>
          <w:tcPr>
            <w:tcW w:w="2424"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rPr>
                <w:b/>
                <w:sz w:val="28"/>
              </w:rPr>
            </w:pPr>
            <w:r w:rsidRPr="006A4D99">
              <w:rPr>
                <w:b/>
                <w:sz w:val="28"/>
              </w:rPr>
              <w:t>Subgrantee Costs</w:t>
            </w:r>
          </w:p>
        </w:tc>
        <w:tc>
          <w:tcPr>
            <w:tcW w:w="699"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rPr>
                <w:b/>
                <w:sz w:val="20"/>
              </w:rPr>
            </w:pPr>
            <w:r w:rsidRPr="006A4D99">
              <w:rPr>
                <w:b/>
                <w:sz w:val="20"/>
              </w:rPr>
              <w:t>Admin</w:t>
            </w:r>
          </w:p>
        </w:tc>
        <w:tc>
          <w:tcPr>
            <w:tcW w:w="810"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rPr>
                <w:b/>
                <w:sz w:val="20"/>
              </w:rPr>
            </w:pPr>
            <w:r w:rsidRPr="006A4D99">
              <w:rPr>
                <w:b/>
                <w:sz w:val="20"/>
              </w:rPr>
              <w:t>Program</w:t>
            </w:r>
          </w:p>
        </w:tc>
        <w:tc>
          <w:tcPr>
            <w:tcW w:w="720"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rPr>
                <w:b/>
                <w:sz w:val="20"/>
              </w:rPr>
            </w:pPr>
            <w:r w:rsidRPr="006A4D99">
              <w:rPr>
                <w:b/>
                <w:sz w:val="20"/>
              </w:rPr>
              <w:t>Admin</w:t>
            </w:r>
          </w:p>
        </w:tc>
        <w:tc>
          <w:tcPr>
            <w:tcW w:w="900"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rPr>
                <w:b/>
                <w:sz w:val="20"/>
              </w:rPr>
            </w:pPr>
            <w:r w:rsidRPr="006A4D99">
              <w:rPr>
                <w:b/>
                <w:sz w:val="20"/>
              </w:rPr>
              <w:t>Direct Customer Training Costs</w:t>
            </w:r>
          </w:p>
        </w:tc>
        <w:tc>
          <w:tcPr>
            <w:tcW w:w="810"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1272C1" w:rsidP="006A4D99">
            <w:pPr>
              <w:spacing w:after="0"/>
              <w:rPr>
                <w:b/>
                <w:sz w:val="20"/>
              </w:rPr>
            </w:pPr>
            <w:r w:rsidRPr="006A4D99">
              <w:rPr>
                <w:b/>
                <w:sz w:val="20"/>
              </w:rPr>
              <w:t xml:space="preserve">Career Services – </w:t>
            </w:r>
            <w:r w:rsidR="00433520" w:rsidRPr="006A4D99">
              <w:rPr>
                <w:b/>
                <w:sz w:val="20"/>
              </w:rPr>
              <w:t>Direct Services</w:t>
            </w:r>
          </w:p>
        </w:tc>
        <w:tc>
          <w:tcPr>
            <w:tcW w:w="837" w:type="dxa"/>
            <w:tcBorders>
              <w:top w:val="single" w:sz="7" w:space="0" w:color="000000"/>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vAlign w:val="center"/>
          </w:tcPr>
          <w:p w:rsidR="00593DCB" w:rsidRPr="006A4D99" w:rsidRDefault="00593DCB" w:rsidP="006A4D99">
            <w:pPr>
              <w:spacing w:after="0"/>
              <w:rPr>
                <w:b/>
                <w:sz w:val="20"/>
              </w:rPr>
            </w:pPr>
            <w:r w:rsidRPr="006A4D99">
              <w:rPr>
                <w:b/>
                <w:sz w:val="20"/>
              </w:rPr>
              <w:t>Support Services</w:t>
            </w:r>
          </w:p>
        </w:tc>
        <w:tc>
          <w:tcPr>
            <w:tcW w:w="3600" w:type="dxa"/>
            <w:vMerge/>
            <w:tcBorders>
              <w:left w:val="single" w:sz="7" w:space="0" w:color="000000"/>
              <w:bottom w:val="single" w:sz="7" w:space="0" w:color="000000"/>
              <w:right w:val="single" w:sz="7" w:space="0" w:color="000000"/>
            </w:tcBorders>
            <w:shd w:val="pct5" w:color="000000" w:fill="FFFFFF"/>
            <w:tcMar>
              <w:top w:w="29" w:type="dxa"/>
              <w:left w:w="29" w:type="dxa"/>
              <w:bottom w:w="29" w:type="dxa"/>
              <w:right w:w="29" w:type="dxa"/>
            </w:tcMar>
          </w:tcPr>
          <w:p w:rsidR="00593DCB" w:rsidRPr="002F7406" w:rsidRDefault="00593DCB" w:rsidP="001B1B1B"/>
        </w:tc>
      </w:tr>
      <w:tr w:rsidR="00204CCF" w:rsidRPr="000B7024" w:rsidTr="006A4D99">
        <w:trPr>
          <w:cantSplit/>
          <w:trHeight w:val="1036"/>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204CCF" w:rsidP="001B1B1B">
            <w:r w:rsidRPr="00433520">
              <w:t xml:space="preserve">Administrative </w:t>
            </w:r>
            <w:r w:rsidR="00B313CB">
              <w:t>C</w:t>
            </w:r>
            <w:r w:rsidRPr="00433520">
              <w:t>osts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68096B" w:rsidP="001B1B1B">
            <w:r w:rsidRPr="00433520">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204CCF"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68096B" w:rsidP="001B1B1B">
            <w:r w:rsidRPr="00433520">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204CCF"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204CCF"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204CCF"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433520" w:rsidRDefault="00204CCF" w:rsidP="001B1B1B">
            <w:r w:rsidRPr="00433520">
              <w:t xml:space="preserve">Administrative Costs are generally associated with the expenditures related to the operation of the grant award which are not </w:t>
            </w:r>
            <w:r w:rsidR="0068096B" w:rsidRPr="00433520">
              <w:t xml:space="preserve">directly </w:t>
            </w:r>
            <w:r w:rsidRPr="00433520">
              <w:t xml:space="preserve">related to the program costs in serving participants. The administrative expenditures must be in accordance with the appropriate rules and regulations of the funding source. The cap (or maximum amount) of Administrative </w:t>
            </w:r>
            <w:r w:rsidR="00AE4CDF">
              <w:t>C</w:t>
            </w:r>
            <w:r w:rsidRPr="00433520">
              <w:t xml:space="preserve">osts will be indicated in the grant award or budget. At grant closeout, the </w:t>
            </w:r>
            <w:r w:rsidR="00AE4CDF">
              <w:t>A</w:t>
            </w:r>
            <w:r w:rsidRPr="00433520">
              <w:t xml:space="preserve">dministrative </w:t>
            </w:r>
            <w:r w:rsidR="00AE4CDF">
              <w:t>C</w:t>
            </w:r>
            <w:r w:rsidRPr="00433520">
              <w:t xml:space="preserve">ost will be based on actual expenditures (not the budget amount).  </w:t>
            </w:r>
          </w:p>
          <w:p w:rsidR="00204CCF" w:rsidRPr="00433520" w:rsidRDefault="00204CCF" w:rsidP="001B1B1B">
            <w:r w:rsidRPr="00433520">
              <w:t>WIOA LAW, SEC 3 (1), WIOA 683.215(b)(1)(</w:t>
            </w:r>
            <w:proofErr w:type="spellStart"/>
            <w:r w:rsidRPr="00433520">
              <w:t>i</w:t>
            </w:r>
            <w:proofErr w:type="spellEnd"/>
            <w:r w:rsidRPr="00433520">
              <w:t>) and 683.215(c)(6)(</w:t>
            </w:r>
            <w:proofErr w:type="spellStart"/>
            <w:r w:rsidRPr="00433520">
              <w:t>i</w:t>
            </w:r>
            <w:proofErr w:type="spellEnd"/>
            <w:r w:rsidRPr="00433520">
              <w:t>)</w:t>
            </w:r>
          </w:p>
        </w:tc>
      </w:tr>
      <w:tr w:rsidR="00204CCF" w:rsidRPr="000B7024" w:rsidTr="006A4D99">
        <w:trPr>
          <w:cantSplit/>
          <w:trHeight w:val="1036"/>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1766A5" w:rsidRDefault="00204CCF" w:rsidP="001B1B1B">
            <w:r w:rsidRPr="001766A5">
              <w:lastRenderedPageBreak/>
              <w:t xml:space="preserve">Career </w:t>
            </w:r>
            <w:r w:rsidR="00B313CB">
              <w:t>S</w:t>
            </w:r>
            <w:r w:rsidRPr="001766A5">
              <w:t>ervices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1766A5" w:rsidRDefault="00204CCF"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1766A5" w:rsidRDefault="0068096B"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1766A5" w:rsidRDefault="00204CCF"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1766A5" w:rsidRDefault="00204CCF"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1766A5" w:rsidRDefault="0068096B"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04CCF" w:rsidRPr="001766A5" w:rsidRDefault="00204CCF"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68096B" w:rsidP="001B1B1B">
            <w:pPr>
              <w:rPr>
                <w:rFonts w:cs="Calibri"/>
              </w:rPr>
            </w:pPr>
            <w:r w:rsidRPr="001766A5">
              <w:t xml:space="preserve">Career Services include eligibility determination, </w:t>
            </w:r>
            <w:r w:rsidR="008F65C5" w:rsidRPr="001766A5">
              <w:t>development of the</w:t>
            </w:r>
            <w:r w:rsidR="00C8215C">
              <w:t xml:space="preserve"> </w:t>
            </w:r>
            <w:r w:rsidR="008F65C5" w:rsidRPr="001766A5">
              <w:t xml:space="preserve">Individual </w:t>
            </w:r>
            <w:r w:rsidR="00E40618" w:rsidRPr="001766A5">
              <w:t>Employment</w:t>
            </w:r>
            <w:r w:rsidR="008F65C5" w:rsidRPr="001766A5">
              <w:t xml:space="preserve"> Plan</w:t>
            </w:r>
            <w:r w:rsidR="00C8215C">
              <w:t xml:space="preserve"> (IEP)</w:t>
            </w:r>
            <w:r w:rsidR="008F65C5" w:rsidRPr="001766A5">
              <w:t xml:space="preserve">, short term prevocational services and work readiness skills, </w:t>
            </w:r>
            <w:r w:rsidRPr="001766A5">
              <w:t xml:space="preserve">outreach and intake, initial skill assessments, job search and placement assistance, career counseling, recruitment, coordination of activities with other programs, job vacancy listings, provision of useable and understandable performance and program cost information. </w:t>
            </w:r>
            <w:r w:rsidR="008F65C5" w:rsidRPr="001766A5">
              <w:t>Staff</w:t>
            </w:r>
            <w:r w:rsidR="00C8215C">
              <w:t>-</w:t>
            </w:r>
            <w:r w:rsidR="008F65C5" w:rsidRPr="001766A5">
              <w:t>related costs including s</w:t>
            </w:r>
            <w:r w:rsidR="003342EE" w:rsidRPr="001766A5">
              <w:t xml:space="preserve">alaries, benefits, travel rent, </w:t>
            </w:r>
            <w:r w:rsidR="008F65C5" w:rsidRPr="001766A5">
              <w:t>utilities, etc.</w:t>
            </w:r>
          </w:p>
          <w:p w:rsidR="0068096B" w:rsidRPr="001766A5" w:rsidRDefault="0068096B" w:rsidP="001B1B1B">
            <w:pPr>
              <w:rPr>
                <w:rFonts w:cs="Calibri"/>
              </w:rPr>
            </w:pPr>
            <w:r w:rsidRPr="001766A5">
              <w:rPr>
                <w:rFonts w:cs="Calibri"/>
              </w:rPr>
              <w:t xml:space="preserve">WIOA Law </w:t>
            </w:r>
            <w:r w:rsidRPr="001766A5">
              <w:t>Section §134(b)(3)(2)</w:t>
            </w:r>
            <w:r w:rsidRPr="001766A5">
              <w:rPr>
                <w:rFonts w:cs="Calibri"/>
              </w:rPr>
              <w:t>, Sec. 3 (8) definition, WIOA 680.120 th</w:t>
            </w:r>
            <w:r w:rsidR="00C8215C">
              <w:rPr>
                <w:rFonts w:cs="Calibri"/>
              </w:rPr>
              <w:t xml:space="preserve">rough </w:t>
            </w:r>
            <w:r w:rsidRPr="001766A5">
              <w:rPr>
                <w:rFonts w:cs="Calibri"/>
              </w:rPr>
              <w:t xml:space="preserve">680.170. </w:t>
            </w:r>
            <w:r w:rsidRPr="001766A5">
              <w:t xml:space="preserve">Career Services combines the </w:t>
            </w:r>
            <w:r w:rsidR="003342EE" w:rsidRPr="001766A5">
              <w:t>Core</w:t>
            </w:r>
            <w:r w:rsidRPr="001766A5">
              <w:t xml:space="preserve"> and </w:t>
            </w:r>
            <w:r w:rsidR="003342EE" w:rsidRPr="001766A5">
              <w:t>Intensive Service</w:t>
            </w:r>
            <w:r w:rsidRPr="001766A5">
              <w:t xml:space="preserve"> categories previously under WIA. </w:t>
            </w:r>
          </w:p>
        </w:tc>
      </w:tr>
      <w:tr w:rsidR="0068096B" w:rsidRPr="000B7024" w:rsidTr="006A4D99">
        <w:trPr>
          <w:cantSplit/>
          <w:trHeight w:val="1036"/>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68096B" w:rsidP="001B1B1B">
            <w:r w:rsidRPr="001766A5">
              <w:t>Direct Customer Training Costs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68096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B70D97"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68096B"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B70D97"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68096B"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68096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096B" w:rsidRPr="001766A5" w:rsidRDefault="00B70D97" w:rsidP="001B1B1B">
            <w:r w:rsidRPr="001766A5">
              <w:t>T</w:t>
            </w:r>
            <w:r w:rsidR="0068096B" w:rsidRPr="001766A5">
              <w:t xml:space="preserve">uition, books, fees, </w:t>
            </w:r>
            <w:r w:rsidR="00C8215C">
              <w:t>On-the-Job (</w:t>
            </w:r>
            <w:r w:rsidR="0068096B" w:rsidRPr="001766A5">
              <w:t>OJT</w:t>
            </w:r>
            <w:r w:rsidR="00C8215C">
              <w:t>)</w:t>
            </w:r>
            <w:r w:rsidR="0068096B" w:rsidRPr="001766A5">
              <w:t xml:space="preserve"> reimbursements, </w:t>
            </w:r>
            <w:r w:rsidR="001A21AA" w:rsidRPr="001766A5">
              <w:t xml:space="preserve">registered apprenticeships, </w:t>
            </w:r>
            <w:r w:rsidR="0068096B" w:rsidRPr="001766A5">
              <w:t>participant wages &amp; fringes (SCSEP), incumbent worker training, customized training, job readiness training, adult education and literacy activities, provided directly on the customer’s/consumer’s behalf. For non-WIOA programs, include the expenditures in accordance with the appropriate rules and regulati</w:t>
            </w:r>
            <w:r w:rsidR="001A21AA" w:rsidRPr="001766A5">
              <w:t xml:space="preserve">ons. DO NOT INCLUDE STAFF COSTS unless staff are providing the direct customer training. </w:t>
            </w:r>
          </w:p>
          <w:p w:rsidR="00B70D97" w:rsidRPr="001766A5" w:rsidRDefault="00B70D97" w:rsidP="001B1B1B">
            <w:pPr>
              <w:rPr>
                <w:rFonts w:cs="Arial"/>
              </w:rPr>
            </w:pPr>
            <w:r w:rsidRPr="001766A5">
              <w:t>WIOA 680.200 thru 680.330, 683.215(c)(6)</w:t>
            </w:r>
          </w:p>
          <w:p w:rsidR="0068096B" w:rsidRPr="001766A5" w:rsidRDefault="00B70D97" w:rsidP="001B1B1B">
            <w:r w:rsidRPr="001766A5">
              <w:t>OJT: WIOA Law, Sec 3 (44)</w:t>
            </w:r>
          </w:p>
        </w:tc>
      </w:tr>
      <w:tr w:rsidR="00B70D97" w:rsidRPr="000B7024" w:rsidTr="006A4D99">
        <w:trPr>
          <w:cantSplit/>
          <w:trHeight w:val="1036"/>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r w:rsidRPr="00387B3A">
              <w:lastRenderedPageBreak/>
              <w:t>Support Services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r w:rsidRPr="00387B3A">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r w:rsidRPr="00387B3A">
              <w:t>X</w:t>
            </w:r>
          </w:p>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0D97" w:rsidRPr="00387B3A" w:rsidRDefault="00B70D97" w:rsidP="001B1B1B">
            <w:r w:rsidRPr="00387B3A">
              <w:t xml:space="preserve">Costs for services and items considered necessary for job seeker participation in the program including, but not limited to: transportation, housing/rental assistance, health and medical costs, </w:t>
            </w:r>
            <w:r w:rsidR="001A21AA" w:rsidRPr="00387B3A">
              <w:t>emergency financial assistance</w:t>
            </w:r>
            <w:r w:rsidRPr="00387B3A">
              <w:t xml:space="preserve">, legal aid, personal counseling, clothing, </w:t>
            </w:r>
            <w:r w:rsidR="001A21AA" w:rsidRPr="00387B3A">
              <w:t xml:space="preserve">professional memberships, </w:t>
            </w:r>
            <w:r w:rsidRPr="00387B3A">
              <w:t xml:space="preserve">tools, </w:t>
            </w:r>
            <w:r w:rsidR="00244ADB" w:rsidRPr="00387B3A">
              <w:t xml:space="preserve">stipends and incentives, </w:t>
            </w:r>
            <w:r w:rsidR="00F67B3A" w:rsidRPr="00387B3A">
              <w:t>employment and training fees,</w:t>
            </w:r>
            <w:r w:rsidR="000675CA" w:rsidRPr="00387B3A">
              <w:t xml:space="preserve"> </w:t>
            </w:r>
            <w:r w:rsidRPr="00387B3A">
              <w:t xml:space="preserve">etc. For all grants (including non-WIOA programs), the actual support services must be allowable in accordance with the appropriate rules and regulations of the award. </w:t>
            </w:r>
          </w:p>
          <w:p w:rsidR="00B70D97" w:rsidRPr="00387B3A" w:rsidRDefault="00E823F1" w:rsidP="001B1B1B">
            <w:pPr>
              <w:rPr>
                <w:rFonts w:cs="Calibri"/>
              </w:rPr>
            </w:pPr>
            <w:r w:rsidRPr="00387B3A">
              <w:t xml:space="preserve">See </w:t>
            </w:r>
            <w:r w:rsidR="000675CA" w:rsidRPr="00387B3A">
              <w:t>section on</w:t>
            </w:r>
            <w:r w:rsidRPr="00387B3A">
              <w:t xml:space="preserve"> Support Services for possible options, as allowed in grant award.  </w:t>
            </w:r>
          </w:p>
        </w:tc>
      </w:tr>
      <w:tr w:rsidR="002B44BF" w:rsidRPr="000B7024" w:rsidTr="006A4D99">
        <w:trPr>
          <w:cantSplit/>
          <w:trHeight w:val="1036"/>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Accounting</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WIOA 683.215(b)(1)(</w:t>
            </w:r>
            <w:proofErr w:type="spellStart"/>
            <w:r w:rsidRPr="00387B3A">
              <w:t>i</w:t>
            </w:r>
            <w:proofErr w:type="spellEnd"/>
            <w:r w:rsidRPr="00387B3A">
              <w:t>) and 683.215(c)(6)(</w:t>
            </w:r>
            <w:proofErr w:type="spellStart"/>
            <w:r w:rsidRPr="00387B3A">
              <w:t>i</w:t>
            </w:r>
            <w:proofErr w:type="spellEnd"/>
            <w:r w:rsidRPr="00387B3A">
              <w:t xml:space="preserve">). Administrative </w:t>
            </w:r>
            <w:r w:rsidR="00AE4CDF">
              <w:t>C</w:t>
            </w:r>
            <w:r w:rsidRPr="00387B3A">
              <w:t xml:space="preserve">ost if related to admin activities. Program cost if related to participant information, etc. </w:t>
            </w:r>
          </w:p>
        </w:tc>
      </w:tr>
      <w:tr w:rsidR="002B44BF"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A50508" w:rsidP="001B1B1B">
            <w:r w:rsidRPr="00387B3A">
              <w:t>Administrative Costs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r w:rsidRPr="00387B3A">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2B44BF"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2B44BF" w:rsidRPr="00387B3A" w:rsidRDefault="00A50508" w:rsidP="001B1B1B">
            <w:r w:rsidRPr="00387B3A">
              <w:t xml:space="preserve">See Administrative Cost </w:t>
            </w:r>
            <w:r w:rsidR="008F246A" w:rsidRPr="00387B3A">
              <w:t>on page one.</w:t>
            </w:r>
          </w:p>
        </w:tc>
      </w:tr>
      <w:tr w:rsidR="00AF68EE"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lastRenderedPageBreak/>
              <w:t>Advertising</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E5112B" w:rsidRDefault="00AF68EE" w:rsidP="001B1B1B">
            <w:r w:rsidRPr="001766A5">
              <w:t xml:space="preserve">UG 200.421 </w:t>
            </w:r>
            <w:r w:rsidRPr="00E5112B">
              <w:t xml:space="preserve">(a-b) The term advertising costs means the costs of advertising media and corollary administrative </w:t>
            </w:r>
            <w:r w:rsidR="003D5D32">
              <w:t>C</w:t>
            </w:r>
            <w:r w:rsidRPr="00E5112B">
              <w:t xml:space="preserve">osts. Advertising media include magazines, newspapers, radio and television, direct mail, exhibits, electronic or computer transmittals, and </w:t>
            </w:r>
            <w:r w:rsidR="00C8215C">
              <w:t>other costs of this nature</w:t>
            </w:r>
            <w:r w:rsidRPr="00E5112B">
              <w:t>.</w:t>
            </w:r>
          </w:p>
          <w:p w:rsidR="00AF68EE" w:rsidRPr="00E5112B" w:rsidRDefault="00AF68EE" w:rsidP="001B1B1B">
            <w:r w:rsidRPr="00E5112B">
              <w:t>(b) The only allowable advertising costs are those which are solely for:</w:t>
            </w:r>
            <w:r w:rsidRPr="00E5112B">
              <w:br/>
              <w:t xml:space="preserve">(1) The recruitment of personnel required by the non-Federal entity for performance of a Federal award (See also §200.463 </w:t>
            </w:r>
            <w:r w:rsidR="00AE4CDF">
              <w:t>r</w:t>
            </w:r>
            <w:r w:rsidRPr="00E5112B">
              <w:t>ecruiting costs);</w:t>
            </w:r>
            <w:r w:rsidRPr="00E5112B">
              <w:br/>
              <w:t>(2) The procurement of goods and services for the performance of a Federal award;</w:t>
            </w:r>
            <w:r w:rsidRPr="00E5112B">
              <w:br/>
              <w:t>(3) The disposal of scrap or surplus materials acquired in the performance of a Federal award except when non-Federal entities are reimbursed for disposal costs at a predetermined amount; or</w:t>
            </w:r>
            <w:r w:rsidRPr="00E5112B">
              <w:br/>
              <w:t>(4) Program outreach and other specific purposes necessary to meet the requirements of the Federal award.</w:t>
            </w:r>
          </w:p>
          <w:p w:rsidR="00AF68EE" w:rsidRPr="001766A5" w:rsidRDefault="00AF68EE" w:rsidP="001B1B1B">
            <w:r w:rsidRPr="001766A5">
              <w:t xml:space="preserve">WIOA 683.215(b)(3) and 683.245(b)(6). Administrative </w:t>
            </w:r>
            <w:r w:rsidR="00AE4CDF">
              <w:t>C</w:t>
            </w:r>
            <w:r w:rsidRPr="001766A5">
              <w:t>ost if related to admin</w:t>
            </w:r>
            <w:r w:rsidR="00E21554">
              <w:t>istrative</w:t>
            </w:r>
            <w:r w:rsidRPr="001766A5">
              <w:t xml:space="preserve"> activities. Program cost if related to outreach, job development, and program activities. </w:t>
            </w:r>
          </w:p>
        </w:tc>
      </w:tr>
      <w:tr w:rsidR="00AF68EE"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Assessments, comprehensive, and specialized, pre-</w:t>
            </w:r>
            <w:r w:rsidR="008D7C6A" w:rsidRPr="001766A5">
              <w:t>vocational</w:t>
            </w:r>
            <w:r w:rsidRPr="001766A5">
              <w:t xml:space="preserve">, career planning, etc.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 xml:space="preserve">WIOA 680.220 </w:t>
            </w:r>
          </w:p>
        </w:tc>
      </w:tr>
      <w:tr w:rsidR="002B44BF"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r w:rsidRPr="001766A5">
              <w:lastRenderedPageBreak/>
              <w:t>Audit functions</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2B44BF" w:rsidRPr="001766A5" w:rsidRDefault="002B44BF" w:rsidP="001B1B1B">
            <w:r w:rsidRPr="001766A5">
              <w:t xml:space="preserve">UG 200.425  </w:t>
            </w:r>
          </w:p>
          <w:p w:rsidR="002B44BF" w:rsidRPr="001766A5" w:rsidRDefault="002B44BF" w:rsidP="001B1B1B">
            <w:r w:rsidRPr="001766A5">
              <w:t xml:space="preserve">A reasonably proportionate share of the costs of audits required by, and performed in accordance with, the Single Audit Act Amendments of 1996 (31 U.S.C. 7501-7507), as implemented by requirements of this part, are allowable. </w:t>
            </w:r>
          </w:p>
          <w:p w:rsidR="002B44BF" w:rsidRPr="001766A5" w:rsidRDefault="002B44BF" w:rsidP="001B1B1B">
            <w:r w:rsidRPr="001766A5">
              <w:t>UG 200.425(a)(1) to (3)</w:t>
            </w:r>
          </w:p>
          <w:p w:rsidR="002B44BF" w:rsidRPr="001766A5" w:rsidRDefault="002B44BF" w:rsidP="001B1B1B">
            <w:pPr>
              <w:rPr>
                <w:rFonts w:cs="Calibri"/>
              </w:rPr>
            </w:pPr>
            <w:r w:rsidRPr="001766A5">
              <w:t xml:space="preserve">For Unallowable </w:t>
            </w:r>
            <w:r w:rsidR="00AE4CDF">
              <w:t>a</w:t>
            </w:r>
            <w:r w:rsidRPr="001766A5">
              <w:t xml:space="preserve">udit costs, </w:t>
            </w:r>
            <w:proofErr w:type="gramStart"/>
            <w:r w:rsidRPr="001766A5">
              <w:t>see  Unallowable</w:t>
            </w:r>
            <w:proofErr w:type="gramEnd"/>
            <w:r w:rsidRPr="001766A5">
              <w:t xml:space="preserve"> </w:t>
            </w:r>
            <w:r w:rsidR="00AE4CDF">
              <w:t>c</w:t>
            </w:r>
            <w:r w:rsidRPr="001766A5">
              <w:t xml:space="preserve">osts </w:t>
            </w:r>
            <w:r w:rsidR="00AE4CDF">
              <w:t>s</w:t>
            </w:r>
            <w:r w:rsidRPr="001766A5">
              <w:t>ection - Audits</w:t>
            </w:r>
          </w:p>
          <w:p w:rsidR="002B44BF" w:rsidRPr="001766A5" w:rsidRDefault="002B44BF" w:rsidP="001B1B1B">
            <w:r w:rsidRPr="001766A5">
              <w:t>WIOA 683.215(b)(1)(vii)</w:t>
            </w:r>
          </w:p>
        </w:tc>
      </w:tr>
      <w:tr w:rsidR="002B44BF"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2B44BF" w:rsidP="001B1B1B">
            <w:r w:rsidRPr="001766A5">
              <w:t>Bonding</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6251D2"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2B44BF" w:rsidP="001B1B1B"/>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2B44BF"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2B44BF"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2B44BF" w:rsidP="001B1B1B"/>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2B44BF"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44BF" w:rsidRPr="001766A5" w:rsidRDefault="002B44BF" w:rsidP="001B1B1B">
            <w:r w:rsidRPr="001766A5">
              <w:t>UG 200.427</w:t>
            </w:r>
          </w:p>
        </w:tc>
      </w:tr>
      <w:tr w:rsidR="00AF68EE"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Budget preparation</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WIOA 683.215 (b)(1)(</w:t>
            </w:r>
            <w:proofErr w:type="spellStart"/>
            <w:r w:rsidRPr="001766A5">
              <w:t>i</w:t>
            </w:r>
            <w:proofErr w:type="spellEnd"/>
            <w:r w:rsidRPr="001766A5">
              <w:t xml:space="preserve">) and 683.215(c)(2). Administrative </w:t>
            </w:r>
            <w:r w:rsidR="00AE4CDF">
              <w:t>C</w:t>
            </w:r>
            <w:r w:rsidRPr="001766A5">
              <w:t xml:space="preserve">ost if related to overall administrative function. Program cost if related to a program component. </w:t>
            </w:r>
          </w:p>
        </w:tc>
      </w:tr>
      <w:tr w:rsidR="00AF68EE" w:rsidRPr="000B7024" w:rsidTr="006A4D99">
        <w:trPr>
          <w:cantSplit/>
        </w:trPr>
        <w:tc>
          <w:tcPr>
            <w:tcW w:w="2424"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Career Services</w:t>
            </w:r>
          </w:p>
        </w:tc>
        <w:tc>
          <w:tcPr>
            <w:tcW w:w="699"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580021" w:rsidP="001B1B1B">
            <w:r>
              <w:t>X</w:t>
            </w:r>
          </w:p>
        </w:tc>
        <w:tc>
          <w:tcPr>
            <w:tcW w:w="72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4C20C7" w:rsidP="001B1B1B">
            <w:r w:rsidRPr="001766A5">
              <w:t xml:space="preserve">See Career Services </w:t>
            </w:r>
            <w:r w:rsidR="00F939EA" w:rsidRPr="001766A5">
              <w:t>on page two.</w:t>
            </w:r>
          </w:p>
        </w:tc>
      </w:tr>
      <w:tr w:rsidR="00AF68EE" w:rsidRPr="000B7024" w:rsidTr="006A4D99">
        <w:trPr>
          <w:cantSplit/>
        </w:trPr>
        <w:tc>
          <w:tcPr>
            <w:tcW w:w="2424"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Case management</w:t>
            </w:r>
          </w:p>
        </w:tc>
        <w:tc>
          <w:tcPr>
            <w:tcW w:w="699"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680.220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Clerical </w:t>
            </w:r>
            <w:r w:rsidR="008658D1" w:rsidRPr="001766A5">
              <w:t xml:space="preserve">reporting </w:t>
            </w:r>
            <w:r w:rsidRPr="001766A5">
              <w:t>to supervisor of line staff</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683.215(c)(3). Administrative </w:t>
            </w:r>
            <w:r w:rsidR="00AE4CDF">
              <w:t>C</w:t>
            </w:r>
            <w:r w:rsidRPr="001766A5">
              <w:t xml:space="preserve">ost if related to overall administrative function. Program cost if related to a program component.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lastRenderedPageBreak/>
              <w:t>Clerical assistant to training personnel</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683.215. The classification of these costs depends on the nature of the training. If the training is being provided for staff, the cost is administrative. If the training is being provided for participants, the cost is program. </w:t>
            </w:r>
          </w:p>
        </w:tc>
      </w:tr>
      <w:tr w:rsidR="00AF68EE" w:rsidRPr="000B7024" w:rsidTr="006A4D99">
        <w:trPr>
          <w:cantSplit/>
          <w:trHeight w:val="469"/>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Complaints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683.215(b)(1)(vi)</w:t>
            </w:r>
          </w:p>
        </w:tc>
      </w:tr>
      <w:tr w:rsidR="00AF68EE" w:rsidRPr="000B7024" w:rsidTr="006A4D99">
        <w:trPr>
          <w:cantSplit/>
          <w:trHeight w:val="523"/>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Conferences (meetings, retreats, seminars, symposiums, workshop, etc.)</w:t>
            </w:r>
            <w:r w:rsidR="004C20C7" w:rsidRPr="001766A5">
              <w:t xml:space="preserve"> </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4C20C7"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UG 200.432</w:t>
            </w:r>
            <w:r w:rsidR="004C20C7" w:rsidRPr="001766A5">
              <w:br/>
              <w:t xml:space="preserve">Administrative </w:t>
            </w:r>
            <w:r w:rsidR="00AE4CDF">
              <w:t>C</w:t>
            </w:r>
            <w:r w:rsidR="004C20C7" w:rsidRPr="001766A5">
              <w:t>ost if related to overall administrative function. Program cost if related to a program component for program staff</w:t>
            </w:r>
          </w:p>
        </w:tc>
      </w:tr>
      <w:tr w:rsidR="00AF68EE" w:rsidRPr="000B7024" w:rsidTr="006A4D99">
        <w:trPr>
          <w:cantSplit/>
          <w:trHeight w:val="523"/>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Continuous improvement</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683.215(c)(6): Administrative </w:t>
            </w:r>
            <w:r w:rsidR="00AE4CDF">
              <w:t>C</w:t>
            </w:r>
            <w:r w:rsidRPr="001766A5">
              <w:t>ost if related to overall administrative function. Program cost if related to a program component</w:t>
            </w:r>
          </w:p>
        </w:tc>
      </w:tr>
      <w:tr w:rsidR="00AF68EE"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Contracting: </w:t>
            </w:r>
            <w:r w:rsidR="00B313CB">
              <w:t>a</w:t>
            </w:r>
            <w:r w:rsidRPr="001766A5">
              <w:t xml:space="preserve">dministrative or </w:t>
            </w:r>
            <w:r w:rsidR="00B313CB">
              <w:t>p</w:t>
            </w:r>
            <w:r w:rsidRPr="001766A5">
              <w:t>rogram</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4B56C7"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683.215(c)(1) and WIOA 683.215(c)(4). Administrative </w:t>
            </w:r>
            <w:r w:rsidR="00AE4CDF">
              <w:t>C</w:t>
            </w:r>
            <w:r w:rsidRPr="001766A5">
              <w:t>ost if related to overall administrative function. Program cost if related to a program component.</w:t>
            </w:r>
          </w:p>
        </w:tc>
      </w:tr>
      <w:tr w:rsidR="00AF68EE"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Contract/</w:t>
            </w:r>
            <w:r w:rsidR="00B313CB">
              <w:t>p</w:t>
            </w:r>
            <w:r w:rsidRPr="001766A5">
              <w:t xml:space="preserve">urchase order </w:t>
            </w:r>
            <w:r w:rsidR="00B313CB">
              <w:t>p</w:t>
            </w:r>
            <w:r w:rsidRPr="001766A5">
              <w:t>reparation</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 xml:space="preserve">WIOA 683.215(b)(1)(ii); 683.215(c)(2). Administrative </w:t>
            </w:r>
            <w:r w:rsidR="00AE4CDF">
              <w:t>C</w:t>
            </w:r>
            <w:r w:rsidRPr="001766A5">
              <w:t xml:space="preserve">ost if related to overall administrative function. Program cost if related to a program component. </w:t>
            </w:r>
          </w:p>
        </w:tc>
      </w:tr>
      <w:tr w:rsidR="00AF68EE" w:rsidRPr="000B7024" w:rsidTr="006A4D99">
        <w:trPr>
          <w:cantSplit/>
        </w:trPr>
        <w:tc>
          <w:tcPr>
            <w:tcW w:w="2424"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Default="00AF68EE" w:rsidP="001B1B1B">
            <w:r w:rsidRPr="001766A5">
              <w:t>Counseling - career (job search related)</w:t>
            </w:r>
          </w:p>
          <w:p w:rsidR="00AF68EE" w:rsidRPr="001766A5" w:rsidRDefault="00AF68EE" w:rsidP="001B1B1B">
            <w:r w:rsidRPr="001766A5">
              <w:t>Counseling - career (employability plan), group, individual</w:t>
            </w:r>
          </w:p>
        </w:tc>
        <w:tc>
          <w:tcPr>
            <w:tcW w:w="699"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4C20C7" w:rsidP="001B1B1B">
            <w:r w:rsidRPr="001766A5">
              <w:t>X</w:t>
            </w:r>
          </w:p>
        </w:tc>
        <w:tc>
          <w:tcPr>
            <w:tcW w:w="837"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680.220</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lastRenderedPageBreak/>
              <w:t xml:space="preserve">Depreciation and </w:t>
            </w:r>
            <w:r w:rsidR="00B313CB">
              <w:t>d</w:t>
            </w:r>
            <w:r w:rsidRPr="001766A5">
              <w:t xml:space="preserve">isposition of </w:t>
            </w:r>
            <w:r w:rsidR="00B313CB">
              <w:t>d</w:t>
            </w:r>
            <w:r w:rsidRPr="001766A5">
              <w:t xml:space="preserve">epreciable </w:t>
            </w:r>
            <w:r w:rsidR="00B313CB">
              <w:t>a</w:t>
            </w:r>
            <w:r w:rsidRPr="001766A5">
              <w:t>ssets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251D2"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UG 200.436, 200.443</w:t>
            </w:r>
            <w:r w:rsidR="006251D2" w:rsidRPr="001766A5">
              <w:t xml:space="preserve"> If purchased with grant funds, cannot depreciate.</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Eligibility determination</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4C20C7"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680.220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Eligible list of providers – information, development and maintenance</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Sec. 122</w:t>
            </w:r>
          </w:p>
          <w:p w:rsidR="00AF68EE" w:rsidRPr="001766A5" w:rsidRDefault="00AF68EE" w:rsidP="001B1B1B">
            <w:r w:rsidRPr="001766A5">
              <w:t>WIOA 683.215(c)(5)(6)</w:t>
            </w:r>
          </w:p>
        </w:tc>
      </w:tr>
      <w:tr w:rsidR="00AF68EE"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 xml:space="preserve">Entertainment </w:t>
            </w:r>
            <w:r w:rsidR="00B313CB">
              <w:t>c</w:t>
            </w:r>
            <w:r w:rsidRPr="001766A5">
              <w:t>osts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UG 200.438</w:t>
            </w:r>
          </w:p>
          <w:p w:rsidR="00AF68EE" w:rsidRPr="001766A5" w:rsidRDefault="00AF68EE" w:rsidP="001B1B1B">
            <w:r w:rsidRPr="001766A5">
              <w:t xml:space="preserve">Generally unallowable - </w:t>
            </w:r>
          </w:p>
          <w:p w:rsidR="00AF68EE" w:rsidRPr="001766A5" w:rsidRDefault="00AF68EE" w:rsidP="001B1B1B">
            <w:r w:rsidRPr="001766A5">
              <w:t xml:space="preserve">See Entertainment Costs </w:t>
            </w:r>
            <w:r w:rsidR="004B56C7" w:rsidRPr="001766A5">
              <w:t>listed under</w:t>
            </w:r>
            <w:r w:rsidRPr="001766A5">
              <w:t xml:space="preserve"> Unallowable Costs section</w:t>
            </w:r>
            <w:r w:rsidR="004B56C7" w:rsidRPr="001766A5">
              <w:t>.</w:t>
            </w:r>
          </w:p>
        </w:tc>
      </w:tr>
      <w:tr w:rsidR="00AF68EE"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Equipment/equipment expenditures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4C20C7"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WIOA 683.215(b)(5); 683.215(c)(5)</w:t>
            </w:r>
            <w:r w:rsidR="004C20C7" w:rsidRPr="001766A5">
              <w:br/>
              <w:t xml:space="preserve">Administrative </w:t>
            </w:r>
            <w:r w:rsidR="00AE4CDF">
              <w:t>C</w:t>
            </w:r>
            <w:r w:rsidR="004C20C7" w:rsidRPr="001766A5">
              <w:t>ost if related to overall administrative function. Program cost if related to a program component</w:t>
            </w:r>
          </w:p>
        </w:tc>
      </w:tr>
      <w:tr w:rsidR="00AF68EE" w:rsidRPr="000B7024" w:rsidTr="006A4D99">
        <w:trPr>
          <w:cantSplit/>
        </w:trPr>
        <w:tc>
          <w:tcPr>
            <w:tcW w:w="2424"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Financial functions and management systems</w:t>
            </w:r>
          </w:p>
        </w:tc>
        <w:tc>
          <w:tcPr>
            <w:tcW w:w="699"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835536" w:rsidP="001B1B1B">
            <w:r w:rsidRPr="001766A5">
              <w:t>X</w:t>
            </w:r>
          </w:p>
        </w:tc>
        <w:tc>
          <w:tcPr>
            <w:tcW w:w="72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 (b)(1)(</w:t>
            </w:r>
            <w:proofErr w:type="spellStart"/>
            <w:r w:rsidRPr="001766A5">
              <w:t>i</w:t>
            </w:r>
            <w:proofErr w:type="spellEnd"/>
            <w:r w:rsidRPr="001766A5">
              <w:t>);</w:t>
            </w:r>
            <w:r w:rsidR="00AE4CDF">
              <w:t xml:space="preserve"> 683.215(c)(5). Administrative C</w:t>
            </w:r>
            <w:r w:rsidRPr="001766A5">
              <w:t>ost if related to overall admin function. Program cost if related to participant tracking.</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Facility </w:t>
            </w:r>
            <w:r w:rsidR="00B313CB">
              <w:t>r</w:t>
            </w:r>
            <w:r w:rsidRPr="001766A5">
              <w:t>earrangement and reconversion</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835536"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580021" w:rsidP="001B1B1B">
            <w:r>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835536"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580021" w:rsidP="001B1B1B">
            <w:r>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UG 200.462</w:t>
            </w:r>
            <w:r w:rsidR="00FB675A" w:rsidRPr="001766A5">
              <w:br/>
              <w:t xml:space="preserve">Administrative </w:t>
            </w:r>
            <w:r w:rsidR="00AE4CDF">
              <w:t>C</w:t>
            </w:r>
            <w:r w:rsidR="00FB675A" w:rsidRPr="001766A5">
              <w:t>ost if related to overall administrative function. Program cost if related to a program component</w:t>
            </w:r>
          </w:p>
        </w:tc>
      </w:tr>
      <w:tr w:rsidR="00B7239A"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r w:rsidRPr="001766A5">
              <w:t>Fund raising and investment management costs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7239A" w:rsidRPr="001766A5" w:rsidRDefault="00B7239A" w:rsidP="001B1B1B">
            <w:r w:rsidRPr="001766A5">
              <w:t>UG 200.442 (a)</w:t>
            </w:r>
            <w:r w:rsidR="001B1B1B">
              <w:t>…</w:t>
            </w:r>
            <w:r w:rsidRPr="00B7239A">
              <w:br/>
              <w:t>For ETP purposes, generally unallowable. See Fundraising in Unallowable Section</w:t>
            </w:r>
            <w:r w:rsidRPr="001766A5">
              <w:rPr>
                <w:rFonts w:cs="Arial"/>
              </w:rPr>
              <w:t>.</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lastRenderedPageBreak/>
              <w:t xml:space="preserve">Improper </w:t>
            </w:r>
            <w:r w:rsidR="00B313CB">
              <w:t>p</w:t>
            </w:r>
            <w:r w:rsidRPr="001766A5">
              <w:t xml:space="preserve">ayment </w:t>
            </w:r>
            <w:r w:rsidR="00B313CB">
              <w:t>c</w:t>
            </w:r>
            <w:r w:rsidRPr="001766A5">
              <w:t>ollection</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193EFA"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193EFA"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UG 200.428</w:t>
            </w:r>
          </w:p>
          <w:p w:rsidR="00AF68EE" w:rsidRPr="001766A5" w:rsidRDefault="00AF68EE" w:rsidP="001B1B1B">
            <w:pPr>
              <w:rPr>
                <w:rFonts w:cs="Calibri"/>
              </w:rPr>
            </w:pPr>
            <w:r w:rsidRPr="001766A5">
              <w:t xml:space="preserve">The costs incurred by a non-Federal entity to recover improper payments are allowable as either direct or indirect costs, as appropriate. Amounts collected may be used by the non-Federal entity in accordance with cash management standards set forth in UG200.305 </w:t>
            </w:r>
            <w:r w:rsidRPr="001766A5">
              <w:rPr>
                <w:i/>
                <w:iCs/>
              </w:rPr>
              <w:t>Payment</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Incident reports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683.215(b)(1)(vi)</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Indirect cost and cost rate proposal</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UG 200.56 and 200.57</w:t>
            </w:r>
          </w:p>
          <w:p w:rsidR="00AF68EE" w:rsidRPr="001766A5" w:rsidRDefault="00AF68EE" w:rsidP="001B1B1B">
            <w:r w:rsidRPr="001766A5">
              <w:t xml:space="preserve">WIOA 683.215(a); 683.215(c)(3) Specific costs charged to an overhead or indirect cost pool that can be identified as a program cost may be charged as a program cost.  Documentation of such charges must be maintained.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Individual training accounting system maintenance</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683.215(c)(6)(</w:t>
            </w:r>
            <w:proofErr w:type="spellStart"/>
            <w:r w:rsidRPr="001766A5">
              <w:t>i</w:t>
            </w:r>
            <w:proofErr w:type="spellEnd"/>
            <w:r w:rsidRPr="001766A5">
              <w:t>)</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Information including jobs, jobs in demand, support services, job skills, secondary providers, financial aid, </w:t>
            </w:r>
            <w:r w:rsidR="00B313CB">
              <w:t>vocational rehabilitation, etc.</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683.215(c)(6)</w:t>
            </w:r>
          </w:p>
        </w:tc>
      </w:tr>
      <w:tr w:rsidR="00AF68EE"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Information systems</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683.215(b)(1)(ix); 683.215(b)(5); 683.215(c)(5). </w:t>
            </w:r>
            <w:r w:rsidRPr="001766A5">
              <w:br/>
              <w:t xml:space="preserve">Administrative </w:t>
            </w:r>
            <w:r w:rsidR="00AE4CDF">
              <w:t>C</w:t>
            </w:r>
            <w:r w:rsidRPr="001766A5">
              <w:t>ost if related to overall administrative function. Program cost if related to a program component.</w:t>
            </w:r>
          </w:p>
        </w:tc>
      </w:tr>
      <w:tr w:rsidR="00AF68EE"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lastRenderedPageBreak/>
              <w:t xml:space="preserve">Insurance and </w:t>
            </w:r>
            <w:r w:rsidR="00B313CB">
              <w:t>i</w:t>
            </w:r>
            <w:r w:rsidRPr="001766A5">
              <w:t>ndemnification</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AF68EE" w:rsidRPr="001766A5" w:rsidRDefault="00AF68EE" w:rsidP="001B1B1B">
            <w:r w:rsidRPr="001766A5">
              <w:t>UG 200.447</w:t>
            </w:r>
          </w:p>
          <w:p w:rsidR="00AF68EE" w:rsidRPr="001766A5" w:rsidRDefault="00AF68EE" w:rsidP="001B1B1B">
            <w:r w:rsidRPr="001766A5">
              <w:t xml:space="preserve">Administrative </w:t>
            </w:r>
            <w:r w:rsidR="003D5D32">
              <w:t>C</w:t>
            </w:r>
            <w:r w:rsidRPr="001766A5">
              <w:t>ost if related to overall administrative function. Program cost if related to a program component.</w:t>
            </w:r>
          </w:p>
        </w:tc>
      </w:tr>
      <w:tr w:rsidR="00AF68EE" w:rsidRPr="000B7024" w:rsidTr="006A4D99">
        <w:trPr>
          <w:cantSplit/>
          <w:trHeight w:val="907"/>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Interest</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4B56C7"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4B56C7"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rPr>
                <w:rFonts w:cs="Calibri"/>
              </w:rPr>
              <w:t>UG 200.449</w:t>
            </w:r>
            <w:r w:rsidRPr="001766A5">
              <w:rPr>
                <w:rFonts w:cs="Calibri"/>
              </w:rPr>
              <w:br/>
              <w:t>…</w:t>
            </w:r>
            <w:r w:rsidRPr="001766A5">
              <w:t>Financing costs (including interest) to acquire, construct, or replace capital assets are allowable, subject to the conditions in this section…</w:t>
            </w:r>
          </w:p>
          <w:p w:rsidR="00AF68EE" w:rsidRPr="001766A5" w:rsidRDefault="00AF68EE" w:rsidP="001B1B1B">
            <w:pPr>
              <w:rPr>
                <w:rFonts w:cs="Calibri"/>
              </w:rPr>
            </w:pPr>
            <w:r w:rsidRPr="001766A5">
              <w:t xml:space="preserve">Also see Interest Unallowable </w:t>
            </w:r>
            <w:r w:rsidR="004B56C7" w:rsidRPr="001766A5">
              <w:t>Cost Section.</w:t>
            </w:r>
          </w:p>
        </w:tc>
      </w:tr>
      <w:tr w:rsidR="00AF68EE" w:rsidRPr="000B7024" w:rsidTr="006A4D99">
        <w:trPr>
          <w:cantSplit/>
          <w:trHeight w:val="907"/>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Interpreter and translation</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3C6E31"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WIOA 683.215(b)(1)(ix).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Investigations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683.215(b)(1)(vi)</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Job coach</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683.210</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Job developer</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83A3B" w:rsidP="001B1B1B">
            <w:r w:rsidRPr="001766A5">
              <w:t>WIOA 680.2</w:t>
            </w:r>
            <w:r w:rsidR="009E1F7B" w:rsidRPr="001766A5">
              <w:t>2</w:t>
            </w:r>
            <w:r w:rsidRPr="001766A5">
              <w:t>0</w:t>
            </w:r>
            <w:r w:rsidR="009E1F7B" w:rsidRPr="001766A5">
              <w:t xml:space="preserve"> or 683.215 or 680.110</w:t>
            </w:r>
            <w:r w:rsidRPr="001766A5">
              <w:t>?</w:t>
            </w:r>
            <w:r w:rsidR="00AF68EE" w:rsidRPr="001766A5">
              <w:t xml:space="preserve">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Job search assistance</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83A3B" w:rsidP="001B1B1B">
            <w:r w:rsidRPr="001766A5">
              <w:t xml:space="preserve">WIOA 683.215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Job search - out of area</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83A3B" w:rsidP="001B1B1B">
            <w:r w:rsidRPr="001766A5">
              <w:t>WIOA 683.215</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Job vacancies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83A3B"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83A3B" w:rsidP="001B1B1B">
            <w:r w:rsidRPr="001766A5">
              <w:t>WIOA 683.215</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Labor market analysis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3C6E31"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683A3B" w:rsidP="001B1B1B">
            <w:r w:rsidRPr="001766A5">
              <w:t xml:space="preserve">WIOA </w:t>
            </w:r>
            <w:r w:rsidR="00AF68EE" w:rsidRPr="001766A5">
              <w:t>683.215 (c)(6)</w:t>
            </w:r>
          </w:p>
        </w:tc>
      </w:tr>
      <w:tr w:rsidR="00AF68EE" w:rsidRPr="000B7024" w:rsidTr="006A4D99">
        <w:trPr>
          <w:cantSplit/>
          <w:trHeight w:val="298"/>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Legal staff</w:t>
            </w:r>
            <w:r w:rsidRPr="006036E8">
              <w:t>/services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683.215(b)(1)(viii)</w:t>
            </w:r>
          </w:p>
        </w:tc>
      </w:tr>
      <w:tr w:rsidR="00AF68EE" w:rsidRPr="000B7024" w:rsidTr="006A4D99">
        <w:trPr>
          <w:cantSplit/>
          <w:trHeight w:val="307"/>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Licensing fees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3C6E31" w:rsidP="001B1B1B">
            <w:r w:rsidRPr="001766A5">
              <w:t>X</w:t>
            </w:r>
          </w:p>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3C6E31" w:rsidP="001B1B1B">
            <w:bookmarkStart w:id="0" w:name="2.0_index"/>
            <w:bookmarkEnd w:id="0"/>
            <w:r w:rsidRPr="001766A5">
              <w:t xml:space="preserve">WIOA 680.900, </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E446C7" w:rsidP="001B1B1B">
            <w:r w:rsidRPr="001766A5">
              <w:lastRenderedPageBreak/>
              <w:t xml:space="preserve">Local boards and boards of chief elected official required by local public/private partnership </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WIOA 683.215(a); 20 CFR 683.215(c)(2)</w:t>
            </w:r>
          </w:p>
          <w:p w:rsidR="00AF68EE" w:rsidRPr="001766A5" w:rsidRDefault="00AF68EE" w:rsidP="001B1B1B">
            <w:r w:rsidRPr="001766A5">
              <w:t>It is primarily administration cost. It is possible that if boards are reviewing specific programs, one probably could claim a program cost.</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Maintenance/</w:t>
            </w:r>
            <w:r w:rsidR="00496B8F">
              <w:t>r</w:t>
            </w:r>
            <w:r w:rsidRPr="001766A5">
              <w:t>epair functions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1766A5" w:rsidRDefault="00AF68EE" w:rsidP="001B1B1B">
            <w:r w:rsidRPr="001766A5">
              <w:t xml:space="preserve">UG </w:t>
            </w:r>
            <w:proofErr w:type="gramStart"/>
            <w:r w:rsidRPr="001766A5">
              <w:t>200.452  WIOA</w:t>
            </w:r>
            <w:proofErr w:type="gramEnd"/>
            <w:r w:rsidRPr="001766A5">
              <w:t xml:space="preserve"> 683.215(b)(5); Administrative </w:t>
            </w:r>
            <w:r w:rsidR="00AE4CDF">
              <w:t>C</w:t>
            </w:r>
            <w:r w:rsidRPr="001766A5">
              <w:t>ost if repair is for admin purposes; Program cost if repair, i.e., Equipment, etc., is for program purposes</w:t>
            </w:r>
          </w:p>
        </w:tc>
      </w:tr>
      <w:tr w:rsidR="00AF68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Default="00AF68EE" w:rsidP="001B1B1B">
            <w:r>
              <w:t xml:space="preserve">Marketing and </w:t>
            </w:r>
            <w:r w:rsidR="00496B8F">
              <w:t>s</w:t>
            </w:r>
            <w:r>
              <w:t>elling</w:t>
            </w:r>
          </w:p>
          <w:p w:rsidR="00AF68EE" w:rsidRPr="000B7024" w:rsidRDefault="00AF68EE" w:rsidP="001B1B1B">
            <w:r>
              <w:t xml:space="preserve">(see </w:t>
            </w:r>
            <w:r w:rsidR="00496B8F">
              <w:t>o</w:t>
            </w:r>
            <w:r>
              <w:t xml:space="preserve">utreach, or </w:t>
            </w:r>
            <w:r w:rsidR="00496B8F">
              <w:t>a</w:t>
            </w:r>
            <w:r>
              <w:t xml:space="preserve">dvertising, or </w:t>
            </w:r>
            <w:r w:rsidR="00496B8F">
              <w:t>p</w:t>
            </w:r>
            <w:r>
              <w:t xml:space="preserve">ublic </w:t>
            </w:r>
            <w:r w:rsidR="00496B8F">
              <w:t>r</w:t>
            </w:r>
            <w:r>
              <w:t>elations)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0B7024"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0B7024" w:rsidRDefault="00AF68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E30D5E" w:rsidRDefault="00AF68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E30D5E" w:rsidRDefault="00AF68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E30D5E" w:rsidRDefault="00AF68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E30D5E" w:rsidRDefault="00AF68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AF68EE" w:rsidRPr="004B56C7" w:rsidRDefault="00AF68EE" w:rsidP="001B1B1B">
            <w:pPr>
              <w:rPr>
                <w:rFonts w:cs="Calibri"/>
              </w:rPr>
            </w:pPr>
            <w:r w:rsidRPr="004B56C7">
              <w:rPr>
                <w:rFonts w:cs="Calibri"/>
              </w:rPr>
              <w:t>UG 200.467</w:t>
            </w:r>
            <w:r w:rsidRPr="004B56C7">
              <w:rPr>
                <w:rFonts w:cs="Calibri"/>
              </w:rPr>
              <w:br/>
            </w:r>
            <w:r w:rsidR="00A50508" w:rsidRPr="004B56C7">
              <w:t>Generally Unallowable.</w:t>
            </w:r>
            <w:r w:rsidR="00A50508" w:rsidRPr="004B56C7">
              <w:br/>
            </w:r>
            <w:r w:rsidRPr="004B56C7">
              <w:t>Costs of selling and marketing any products or services of the non-Federal entity (unless allowed under §200.421 Advertising and public relations.) are</w:t>
            </w:r>
            <w:r w:rsidR="00665D2B">
              <w:t xml:space="preserve"> </w:t>
            </w:r>
            <w:r w:rsidRPr="00665D2B">
              <w:t>unallowable</w:t>
            </w:r>
            <w:r w:rsidRPr="004B56C7">
              <w:rPr>
                <w:sz w:val="32"/>
                <w:szCs w:val="32"/>
              </w:rPr>
              <w:t>,</w:t>
            </w:r>
            <w:r w:rsidRPr="004B56C7">
              <w:t xml:space="preserve"> except as direct costs, with prior approval by the Federal awarding agency when necessary for the performance of the Federal award. See Unallowable Cost Section below.</w:t>
            </w:r>
          </w:p>
        </w:tc>
      </w:tr>
      <w:tr w:rsidR="00E40618"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E40618" w:rsidRPr="001766A5" w:rsidRDefault="00E40618" w:rsidP="001B1B1B">
            <w:r w:rsidRPr="001766A5">
              <w:t>Materials and supplies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E40618" w:rsidRPr="001766A5" w:rsidRDefault="00E40618" w:rsidP="001B1B1B">
            <w:r w:rsidRPr="001766A5">
              <w:t>X</w:t>
            </w:r>
          </w:p>
        </w:tc>
        <w:tc>
          <w:tcPr>
            <w:tcW w:w="810" w:type="dxa"/>
            <w:tcBorders>
              <w:top w:val="single" w:sz="7" w:space="0" w:color="000000"/>
              <w:left w:val="single" w:sz="7" w:space="0" w:color="000000"/>
              <w:bottom w:val="single" w:sz="7" w:space="0" w:color="000000"/>
              <w:right w:val="single" w:sz="7" w:space="0" w:color="000000"/>
            </w:tcBorders>
            <w:shd w:val="clear" w:color="auto" w:fill="FFFFFF"/>
            <w:tcMar>
              <w:top w:w="29" w:type="dxa"/>
              <w:left w:w="29" w:type="dxa"/>
              <w:bottom w:w="29" w:type="dxa"/>
              <w:right w:w="29" w:type="dxa"/>
            </w:tcMar>
          </w:tcPr>
          <w:p w:rsidR="00E40618" w:rsidRPr="001766A5" w:rsidRDefault="00E40618" w:rsidP="001B1B1B">
            <w:r w:rsidRPr="001766A5">
              <w:t>X</w:t>
            </w:r>
          </w:p>
        </w:tc>
        <w:tc>
          <w:tcPr>
            <w:tcW w:w="720" w:type="dxa"/>
            <w:tcBorders>
              <w:top w:val="single" w:sz="7" w:space="0" w:color="000000"/>
              <w:left w:val="single" w:sz="7" w:space="0" w:color="000000"/>
              <w:bottom w:val="single" w:sz="7" w:space="0" w:color="000000"/>
              <w:right w:val="single" w:sz="7" w:space="0" w:color="000000"/>
            </w:tcBorders>
            <w:shd w:val="clear" w:color="auto" w:fill="FFFFFF"/>
            <w:tcMar>
              <w:top w:w="29" w:type="dxa"/>
              <w:left w:w="29" w:type="dxa"/>
              <w:bottom w:w="29" w:type="dxa"/>
              <w:right w:w="29" w:type="dxa"/>
            </w:tcMar>
          </w:tcPr>
          <w:p w:rsidR="00E40618" w:rsidRPr="001766A5" w:rsidRDefault="00E40618" w:rsidP="001B1B1B">
            <w:r w:rsidRPr="001766A5">
              <w:t>X</w:t>
            </w:r>
          </w:p>
        </w:tc>
        <w:tc>
          <w:tcPr>
            <w:tcW w:w="900" w:type="dxa"/>
            <w:tcBorders>
              <w:top w:val="single" w:sz="7" w:space="0" w:color="000000"/>
              <w:left w:val="single" w:sz="7" w:space="0" w:color="000000"/>
              <w:bottom w:val="single" w:sz="7" w:space="0" w:color="000000"/>
              <w:right w:val="single" w:sz="7" w:space="0" w:color="000000"/>
            </w:tcBorders>
            <w:shd w:val="clear" w:color="auto" w:fill="FFFFFF"/>
            <w:tcMar>
              <w:top w:w="29" w:type="dxa"/>
              <w:left w:w="29" w:type="dxa"/>
              <w:bottom w:w="29" w:type="dxa"/>
              <w:right w:w="29" w:type="dxa"/>
            </w:tcMar>
          </w:tcPr>
          <w:p w:rsidR="00E40618" w:rsidRPr="001766A5" w:rsidRDefault="00E40618"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E40618" w:rsidRPr="001766A5" w:rsidRDefault="00E40618"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E40618" w:rsidRPr="001766A5" w:rsidRDefault="00E40618"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E40618" w:rsidRPr="001766A5" w:rsidRDefault="00E40618" w:rsidP="001B1B1B">
            <w:r w:rsidRPr="001766A5">
              <w:t>UG 200.452, 200.453</w:t>
            </w:r>
            <w:r w:rsidRPr="001766A5">
              <w:br/>
              <w:t xml:space="preserve">WIOA 683.215(b)(3); 683.215(c)(2). Administrative Cost if Materials/Supplies are for admin purposes; Program cost if supplies are for program purposes </w:t>
            </w:r>
          </w:p>
        </w:tc>
      </w:tr>
      <w:tr w:rsidR="00683A3B"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 xml:space="preserve">Memberships, </w:t>
            </w:r>
            <w:r w:rsidR="00496B8F">
              <w:t>s</w:t>
            </w:r>
            <w:r w:rsidRPr="001766A5">
              <w:t>taff</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 xml:space="preserve">UG 200.454 </w:t>
            </w:r>
          </w:p>
          <w:p w:rsidR="00683A3B" w:rsidRPr="001766A5" w:rsidRDefault="00683A3B" w:rsidP="001B1B1B">
            <w:r w:rsidRPr="001766A5">
              <w:t>WIOA 683.245(b)</w:t>
            </w:r>
          </w:p>
          <w:p w:rsidR="00683A3B" w:rsidRPr="001766A5" w:rsidRDefault="00683A3B" w:rsidP="001B1B1B">
            <w:pPr>
              <w:rPr>
                <w:color w:val="00B050"/>
              </w:rPr>
            </w:pPr>
            <w:r w:rsidRPr="001766A5">
              <w:t>Also see Memberships in Unallowable</w:t>
            </w:r>
            <w:r w:rsidR="00DB67AC" w:rsidRPr="001766A5">
              <w:t xml:space="preserve"> Cost Section.</w:t>
            </w:r>
          </w:p>
        </w:tc>
      </w:tr>
      <w:tr w:rsidR="00683A3B"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1B1B1B">
            <w:r w:rsidRPr="001766A5">
              <w:lastRenderedPageBreak/>
              <w:t>Memorandum of Understanding (MOU) negotiating</w:t>
            </w:r>
            <w:r w:rsidR="00496B8F">
              <w:t xml:space="preserve"> </w:t>
            </w:r>
            <w:r w:rsidRPr="001766A5">
              <w:t>and other program-level agreements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6A4D99">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683A3B" w:rsidRPr="001766A5" w:rsidRDefault="00683A3B" w:rsidP="006A4D99">
            <w:r w:rsidRPr="001766A5">
              <w:t>Page 49367, column 1 (Federal Register, August 11, 2000)</w:t>
            </w:r>
          </w:p>
        </w:tc>
      </w:tr>
      <w:tr w:rsidR="00683A3B" w:rsidRPr="000B7024" w:rsidTr="006A4D99">
        <w:trPr>
          <w:cantSplit/>
          <w:trHeight w:val="298"/>
        </w:trPr>
        <w:tc>
          <w:tcPr>
            <w:tcW w:w="2424"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Military Selective Service Act enforcement</w:t>
            </w:r>
          </w:p>
        </w:tc>
        <w:tc>
          <w:tcPr>
            <w:tcW w:w="699"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tc>
        <w:tc>
          <w:tcPr>
            <w:tcW w:w="9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157B4" w:rsidP="001B1B1B">
            <w:r w:rsidRPr="001766A5">
              <w:t>X</w:t>
            </w:r>
          </w:p>
        </w:tc>
        <w:tc>
          <w:tcPr>
            <w:tcW w:w="837"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683A3B" w:rsidRPr="001766A5" w:rsidRDefault="00683A3B" w:rsidP="001B1B1B">
            <w:r w:rsidRPr="001766A5">
              <w:t>WIOA 683.225</w:t>
            </w:r>
            <w:r w:rsidR="006157B4" w:rsidRPr="001766A5">
              <w:t xml:space="preserve"> and 683.230 </w:t>
            </w:r>
            <w:r w:rsidRPr="001766A5">
              <w:t xml:space="preserve"> </w:t>
            </w:r>
          </w:p>
        </w:tc>
      </w:tr>
      <w:tr w:rsidR="00683A3B" w:rsidRPr="000B7024" w:rsidTr="006A4D99">
        <w:trPr>
          <w:cantSplit/>
        </w:trPr>
        <w:tc>
          <w:tcPr>
            <w:tcW w:w="2424"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Monitoring subgrantees</w:t>
            </w:r>
            <w:r w:rsidR="00496B8F">
              <w:t xml:space="preserve"> and s</w:t>
            </w:r>
            <w:r w:rsidRPr="001766A5">
              <w:t>ubgrantees monitoring subrecipients</w:t>
            </w:r>
          </w:p>
        </w:tc>
        <w:tc>
          <w:tcPr>
            <w:tcW w:w="699"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9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37"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WIOA 683.215(b)(2); 20 CFR 683.215(c)(6)(</w:t>
            </w:r>
            <w:proofErr w:type="spellStart"/>
            <w:r w:rsidRPr="001766A5">
              <w:t>i</w:t>
            </w:r>
            <w:proofErr w:type="spellEnd"/>
            <w:r w:rsidRPr="001766A5">
              <w:t xml:space="preserve">). Administrative </w:t>
            </w:r>
            <w:r w:rsidR="00AE4CDF">
              <w:t>C</w:t>
            </w:r>
            <w:r w:rsidRPr="001766A5">
              <w:t xml:space="preserve">ost if monitoring administrative functions; Program cost if monitoring participants and performance information </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Motor pools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WIOA 683.215(b)(4); 683.215(c)(2</w:t>
            </w:r>
            <w:proofErr w:type="gramStart"/>
            <w:r w:rsidRPr="001766A5">
              <w:t>)  Administrative</w:t>
            </w:r>
            <w:proofErr w:type="gramEnd"/>
            <w:r w:rsidRPr="001766A5">
              <w:t xml:space="preserve"> </w:t>
            </w:r>
            <w:r w:rsidR="00AE4CDF">
              <w:t>C</w:t>
            </w:r>
            <w:r w:rsidRPr="001766A5">
              <w:t xml:space="preserve">ost for admin expenses; Program cost for program purposes </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Non-</w:t>
            </w:r>
            <w:r w:rsidR="00496B8F">
              <w:t>d</w:t>
            </w:r>
            <w:r w:rsidRPr="001766A5">
              <w:t>iscrimination</w:t>
            </w:r>
            <w:r w:rsidR="005B7769" w:rsidRPr="001766A5">
              <w:t xml:space="preserve"> enforcement</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WIOA 683.215 (b)(1)(vi); 683.215(a)</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Orientation, general</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9E1F7B" w:rsidP="001B1B1B">
            <w:r w:rsidRPr="001766A5">
              <w:t xml:space="preserve">WIOA 680.110 </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Outreach, general</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5B7769"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 xml:space="preserve">WIOA </w:t>
            </w:r>
            <w:r w:rsidR="006157B4" w:rsidRPr="001766A5">
              <w:t>6</w:t>
            </w:r>
            <w:r w:rsidRPr="001766A5">
              <w:t>83.2</w:t>
            </w:r>
            <w:r w:rsidR="006157B4" w:rsidRPr="001766A5">
              <w:t>1</w:t>
            </w:r>
            <w:r w:rsidRPr="001766A5">
              <w:t>5</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Outreach to employers to obtain job listings</w:t>
            </w:r>
            <w:r w:rsidR="003D42C6">
              <w:t>—</w:t>
            </w:r>
            <w:r w:rsidRPr="001766A5">
              <w:t xml:space="preserve">see </w:t>
            </w:r>
            <w:r w:rsidR="003D42C6">
              <w:t>b</w:t>
            </w:r>
            <w:r w:rsidRPr="001766A5">
              <w:t xml:space="preserve">usiness </w:t>
            </w:r>
            <w:r w:rsidR="003D42C6">
              <w:t>s</w:t>
            </w:r>
            <w:r w:rsidRPr="001766A5">
              <w:t>ervices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157B4" w:rsidP="001B1B1B">
            <w:r w:rsidRPr="001766A5">
              <w:t>WIOA 6</w:t>
            </w:r>
            <w:r w:rsidR="00683A3B" w:rsidRPr="001766A5">
              <w:t>83.2</w:t>
            </w:r>
            <w:r w:rsidRPr="001766A5">
              <w:t>1</w:t>
            </w:r>
            <w:r w:rsidR="00683A3B" w:rsidRPr="001766A5">
              <w:t>5</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 xml:space="preserve">Participant </w:t>
            </w:r>
            <w:r w:rsidR="00AE4CDF">
              <w:t>r</w:t>
            </w:r>
            <w:r w:rsidR="00120FED" w:rsidRPr="001766A5">
              <w:t xml:space="preserve">elated </w:t>
            </w:r>
            <w:r w:rsidR="00AE4CDF">
              <w:t>c</w:t>
            </w:r>
            <w:r w:rsidRPr="001766A5">
              <w:t>osts</w:t>
            </w:r>
            <w:r w:rsidR="005B7769" w:rsidRPr="001766A5">
              <w:t xml:space="preserve">, Support Services </w:t>
            </w:r>
            <w:r w:rsidR="00663CD0" w:rsidRPr="001766A5">
              <w:t>section, page three.</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5B7769"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UG 200.456</w:t>
            </w:r>
            <w:r w:rsidR="00120FED" w:rsidRPr="001766A5">
              <w:t>, WIOA 683.215 (c)(4)</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Participant tracking system purchase</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WIOA 683.215(c)(6)</w:t>
            </w:r>
          </w:p>
        </w:tc>
      </w:tr>
      <w:tr w:rsidR="00683A3B"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Payroll functions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683A3B" w:rsidRPr="001766A5" w:rsidRDefault="00683A3B" w:rsidP="001B1B1B">
            <w:r w:rsidRPr="001766A5">
              <w:t>WIOA 683.215(b)(1)(v)</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lastRenderedPageBreak/>
              <w:t>Payroll systems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WIOA 683.215(b)(1)(v)</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Personnel systems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WIOA 683.215(b)(1)(iv)</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Personnel </w:t>
            </w:r>
            <w:r w:rsidR="003D42C6">
              <w:t>c</w:t>
            </w:r>
            <w:r w:rsidRPr="001766A5">
              <w:t>ompensation</w:t>
            </w:r>
            <w:r w:rsidR="003D42C6">
              <w:t>—</w:t>
            </w:r>
            <w:r w:rsidRPr="001766A5">
              <w:t xml:space="preserve">personal services, fringe benefits, health and welfare costs, </w:t>
            </w:r>
            <w:r w:rsidR="003D42C6">
              <w:t>r</w:t>
            </w:r>
            <w:r w:rsidRPr="001766A5">
              <w:t xml:space="preserve">ecruiting costs, </w:t>
            </w:r>
            <w:r w:rsidR="003D42C6">
              <w:t>r</w:t>
            </w:r>
            <w:r w:rsidRPr="001766A5">
              <w:t>elocation costs, training and education, travel</w:t>
            </w:r>
            <w:r w:rsidR="00580021">
              <w:t>, etc.</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A50508"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A50508"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A50508"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A50508"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UG 200.430, 200.431, 200.437, 200.463, 200.464, 200.472, 200.474</w:t>
            </w:r>
          </w:p>
          <w:p w:rsidR="00BD0DEE" w:rsidRPr="001766A5" w:rsidRDefault="00BD0DEE" w:rsidP="001B1B1B">
            <w:r w:rsidRPr="001766A5">
              <w:t xml:space="preserve">See Relocation Costs of employees – </w:t>
            </w:r>
            <w:r w:rsidR="003F452B">
              <w:t xml:space="preserve">See </w:t>
            </w:r>
            <w:r w:rsidRPr="001766A5">
              <w:t>Unallowable</w:t>
            </w:r>
            <w:r w:rsidR="003F452B">
              <w:t xml:space="preserve"> section </w:t>
            </w:r>
            <w:r w:rsidRPr="001766A5">
              <w:t>(200.464)</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Personnel management functions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WIOA 683.215(b)(1)(iv)</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Performance information for local programs including eligible providers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39762E"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683.215(c)(6)(iii) </w:t>
            </w:r>
          </w:p>
        </w:tc>
      </w:tr>
      <w:tr w:rsidR="00BD0DEE"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r w:rsidRPr="001766A5">
              <w:t>Proposal costs</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5B7769"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39762E"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r w:rsidRPr="001766A5">
              <w:t>UG 200.460</w:t>
            </w:r>
          </w:p>
        </w:tc>
      </w:tr>
      <w:tr w:rsidR="00E87A15"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E87A15" w:rsidP="001B1B1B">
            <w:r w:rsidRPr="001766A5">
              <w:lastRenderedPageBreak/>
              <w:t>Public relations</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E87A15"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565166" w:rsidP="001B1B1B">
            <w:r>
              <w:t>X</w:t>
            </w:r>
          </w:p>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E87A15" w:rsidP="001B1B1B"/>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E87A15"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565166" w:rsidP="001B1B1B">
            <w:r>
              <w:t>X</w:t>
            </w:r>
          </w:p>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E87A15"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E87A15" w:rsidRPr="001766A5" w:rsidRDefault="00E87A15" w:rsidP="001B1B1B">
            <w:pPr>
              <w:rPr>
                <w:rFonts w:cs="Calibri"/>
              </w:rPr>
            </w:pPr>
            <w:r w:rsidRPr="001766A5">
              <w:rPr>
                <w:rFonts w:cs="Calibri"/>
              </w:rPr>
              <w:t xml:space="preserve">UG 200.421(d) </w:t>
            </w:r>
            <w:r w:rsidRPr="001766A5">
              <w:t>The only allowable public relations costs are:</w:t>
            </w:r>
            <w:r w:rsidRPr="001766A5">
              <w:br/>
              <w:t>(1) Costs specifically required by the award;</w:t>
            </w:r>
            <w:r w:rsidRPr="001766A5">
              <w:br/>
              <w:t>(2) Costs of communicating with the public and press pertaining to specific activities or accomplishments which result from performance of the Federal award (these costs are considered necessary as part of the outreach effort for the Federal award); or</w:t>
            </w:r>
            <w:r w:rsidRPr="001766A5">
              <w:br/>
              <w:t>(3) 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w:t>
            </w:r>
          </w:p>
        </w:tc>
      </w:tr>
      <w:tr w:rsidR="00BD0DEE"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r w:rsidRPr="001766A5">
              <w:t>Performance tracking (MIS)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BD0DEE" w:rsidRPr="001766A5" w:rsidRDefault="00BD0DEE" w:rsidP="001B1B1B">
            <w:r w:rsidRPr="001766A5">
              <w:t>WIOA 683.215(c)(5)(</w:t>
            </w:r>
            <w:r w:rsidR="0039762E" w:rsidRPr="001766A5">
              <w:t>v</w:t>
            </w:r>
            <w:r w:rsidRPr="001766A5">
              <w:t xml:space="preserve">) </w:t>
            </w:r>
          </w:p>
        </w:tc>
      </w:tr>
      <w:tr w:rsidR="00BD0DEE" w:rsidRPr="000B7024" w:rsidTr="006A4D99">
        <w:trPr>
          <w:cantSplit/>
        </w:trPr>
        <w:tc>
          <w:tcPr>
            <w:tcW w:w="2424"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Placement assistance</w:t>
            </w:r>
          </w:p>
        </w:tc>
        <w:tc>
          <w:tcPr>
            <w:tcW w:w="699"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9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39762E" w:rsidP="001B1B1B">
            <w:r w:rsidRPr="001766A5">
              <w:t>X</w:t>
            </w:r>
          </w:p>
        </w:tc>
        <w:tc>
          <w:tcPr>
            <w:tcW w:w="837"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39762E" w:rsidP="001B1B1B">
            <w:r w:rsidRPr="001766A5">
              <w:t>WIOA 683.215(c)(</w:t>
            </w:r>
            <w:proofErr w:type="gramStart"/>
            <w:r w:rsidRPr="001766A5">
              <w:t>5)(</w:t>
            </w:r>
            <w:proofErr w:type="gramEnd"/>
            <w:r w:rsidRPr="001766A5">
              <w:t>ii</w:t>
            </w:r>
          </w:p>
        </w:tc>
      </w:tr>
      <w:tr w:rsidR="00BD0DEE" w:rsidRPr="000B7024" w:rsidTr="006A4D99">
        <w:trPr>
          <w:cantSplit/>
        </w:trPr>
        <w:tc>
          <w:tcPr>
            <w:tcW w:w="2424"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Postage</w:t>
            </w:r>
          </w:p>
        </w:tc>
        <w:tc>
          <w:tcPr>
            <w:tcW w:w="699"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5B7769" w:rsidP="006A4D99">
            <w:r w:rsidRPr="001766A5">
              <w:t>X</w:t>
            </w:r>
          </w:p>
        </w:tc>
        <w:tc>
          <w:tcPr>
            <w:tcW w:w="72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6A4D99">
            <w:r w:rsidRPr="001766A5">
              <w:t>X</w:t>
            </w:r>
          </w:p>
        </w:tc>
        <w:tc>
          <w:tcPr>
            <w:tcW w:w="837"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8"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WIOA 683.215(b)(3); 683.215(c)(2) Admin cost for costs for administr</w:t>
            </w:r>
            <w:r w:rsidR="0039762E" w:rsidRPr="001766A5">
              <w:t xml:space="preserve">ative activities. Program cost </w:t>
            </w:r>
            <w:r w:rsidRPr="001766A5">
              <w:t>for program activities.</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lastRenderedPageBreak/>
              <w:t>Pre-award costs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1B1B1B" w:rsidP="001B1B1B">
            <w:hyperlink r:id="rId8" w:history="1">
              <w:r w:rsidR="00584FB0" w:rsidRPr="001766A5">
                <w:rPr>
                  <w:rStyle w:val="Hyperlink"/>
                  <w:rFonts w:cs="Calibri"/>
                  <w:color w:val="auto"/>
                  <w:u w:val="none"/>
                </w:rPr>
                <w:t>Cost</w:t>
              </w:r>
            </w:hyperlink>
            <w:r w:rsidR="00584FB0" w:rsidRPr="001766A5">
              <w:t>s incurred prior to the effective date of the award directly pursuant to the negotiation in anticipation of the award where such costs are necessary for efficient and timely performance of the scope of the work. Allowable only to the extent that they would have been allowable if incurred after the date of the award. Needs written approval of DEED.</w:t>
            </w:r>
            <w:r w:rsidR="00BD0DEE" w:rsidRPr="001766A5">
              <w:t xml:space="preserve"> </w:t>
            </w:r>
          </w:p>
          <w:p w:rsidR="00584FB0" w:rsidRPr="001766A5" w:rsidRDefault="00584FB0" w:rsidP="001B1B1B">
            <w:r w:rsidRPr="001766A5">
              <w:t>UG 200.458</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Premises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683.215(b)(3); 683.215(c)(2) </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Professional </w:t>
            </w:r>
            <w:r w:rsidR="00D819CA">
              <w:t>s</w:t>
            </w:r>
            <w:r w:rsidRPr="001766A5">
              <w:t xml:space="preserve">ervice </w:t>
            </w:r>
            <w:r w:rsidR="00D819CA">
              <w:t>c</w:t>
            </w:r>
            <w:r w:rsidRPr="001766A5">
              <w:t>osts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UG 200.459</w:t>
            </w:r>
            <w:r w:rsidRPr="001766A5">
              <w:br/>
              <w:t xml:space="preserve">WIOA 683.215(b); 683.215(c)(2) </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Program analysis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683.215(b)(5); 683.215(c)(6), Administrative </w:t>
            </w:r>
            <w:r w:rsidR="00957AE6">
              <w:t>C</w:t>
            </w:r>
            <w:r w:rsidRPr="001766A5">
              <w:t xml:space="preserve">osts </w:t>
            </w:r>
            <w:r w:rsidR="00A50508" w:rsidRPr="001766A5">
              <w:t xml:space="preserve">if </w:t>
            </w:r>
            <w:r w:rsidRPr="001766A5">
              <w:t>related to adm</w:t>
            </w:r>
            <w:r w:rsidR="00756D53" w:rsidRPr="001766A5">
              <w:t xml:space="preserve">in activities. Program cost </w:t>
            </w:r>
            <w:r w:rsidRPr="001766A5">
              <w:t>for program planning; performance information</w:t>
            </w:r>
            <w:r w:rsidR="00756D53" w:rsidRPr="001766A5">
              <w:t xml:space="preserve">, etc. </w:t>
            </w:r>
          </w:p>
        </w:tc>
      </w:tr>
      <w:tr w:rsidR="00BD0DEE" w:rsidRPr="00610D06"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Program design/curriculum</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756D53"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756D53" w:rsidP="001B1B1B">
            <w:r w:rsidRPr="001766A5">
              <w:t>WIOA 680.200</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Program performance/cost information</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756D53"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683.215(c)(6)(iii) </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Property management</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610D06"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683.215(b)(1)(iii) administrative functions; </w:t>
            </w:r>
            <w:r w:rsidR="00756D53" w:rsidRPr="001766A5">
              <w:br/>
            </w:r>
            <w:r w:rsidRPr="001766A5">
              <w:t xml:space="preserve">683.215(c)(2) program function. </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Publication and </w:t>
            </w:r>
            <w:r w:rsidR="00D819CA">
              <w:t>p</w:t>
            </w:r>
            <w:r w:rsidRPr="001766A5">
              <w:t>rinting</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UG 200.461</w:t>
            </w:r>
            <w:r w:rsidRPr="001766A5">
              <w:br/>
              <w:t>20 CFR 683.215(b)(3); 683.215(c)(2)</w:t>
            </w:r>
            <w:r w:rsidR="00756D53" w:rsidRPr="001766A5">
              <w:t xml:space="preserve"> administrative or program function</w:t>
            </w:r>
          </w:p>
        </w:tc>
      </w:tr>
      <w:tr w:rsidR="00BD0DEE"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r w:rsidRPr="001766A5">
              <w:lastRenderedPageBreak/>
              <w:t>Procurement function</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683.215(b)(1)(ii) </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Purchasing functions</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610D06" w:rsidP="006A4D99">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6A4D99">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683.215(b)(1)(ii) –general administrative functions; 683.215(c)(2)- program </w:t>
            </w:r>
            <w:r w:rsidR="00756D53" w:rsidRPr="001766A5">
              <w:t>function</w:t>
            </w:r>
            <w:r w:rsidRPr="001766A5">
              <w:t xml:space="preserve">. </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Rental costs of real property and equipment</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UG 200.465</w:t>
            </w:r>
          </w:p>
          <w:p w:rsidR="00BD0DEE" w:rsidRPr="001766A5" w:rsidRDefault="00756D53" w:rsidP="001B1B1B">
            <w:r w:rsidRPr="001766A5">
              <w:t>WIOA 683.215(b)(3) administrative function</w:t>
            </w:r>
            <w:r w:rsidR="00BD0DEE" w:rsidRPr="001766A5">
              <w:t xml:space="preserve">; </w:t>
            </w:r>
            <w:r w:rsidRPr="001766A5">
              <w:br/>
            </w:r>
            <w:r w:rsidR="00BD0DEE" w:rsidRPr="001766A5">
              <w:t xml:space="preserve">683.215(c)(2) program </w:t>
            </w:r>
            <w:r w:rsidRPr="001766A5">
              <w:t>function</w:t>
            </w:r>
            <w:r w:rsidR="00BD0DEE" w:rsidRPr="001766A5">
              <w:t xml:space="preserve"> </w:t>
            </w:r>
          </w:p>
        </w:tc>
      </w:tr>
      <w:tr w:rsidR="00BD0DEE" w:rsidRPr="000B7024" w:rsidTr="006A4D99">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Staff training and education</w:t>
            </w:r>
          </w:p>
        </w:tc>
        <w:tc>
          <w:tcPr>
            <w:tcW w:w="699"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72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9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81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X</w:t>
            </w:r>
          </w:p>
        </w:tc>
        <w:tc>
          <w:tcPr>
            <w:tcW w:w="837"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tc>
        <w:tc>
          <w:tcPr>
            <w:tcW w:w="3600" w:type="dxa"/>
            <w:tcBorders>
              <w:top w:val="single" w:sz="7" w:space="0" w:color="000000"/>
              <w:left w:val="single" w:sz="7" w:space="0" w:color="000000"/>
              <w:bottom w:val="single" w:sz="7" w:space="0" w:color="000000"/>
              <w:right w:val="single" w:sz="7" w:space="0" w:color="000000"/>
            </w:tcBorders>
            <w:tcMar>
              <w:top w:w="29" w:type="dxa"/>
              <w:left w:w="29" w:type="dxa"/>
              <w:bottom w:w="29" w:type="dxa"/>
              <w:right w:w="29" w:type="dxa"/>
            </w:tcMar>
          </w:tcPr>
          <w:p w:rsidR="00BD0DEE" w:rsidRPr="001766A5" w:rsidRDefault="00BD0DEE" w:rsidP="001B1B1B">
            <w:r w:rsidRPr="001766A5">
              <w:t xml:space="preserve">WIOA 683.215(c)(6) – Administrative </w:t>
            </w:r>
            <w:r w:rsidR="00756D53" w:rsidRPr="001766A5">
              <w:t xml:space="preserve">or program function </w:t>
            </w:r>
          </w:p>
        </w:tc>
      </w:tr>
      <w:tr w:rsidR="00456307" w:rsidRPr="000B7024" w:rsidTr="006A4D99">
        <w:trPr>
          <w:cantSplit/>
        </w:trPr>
        <w:tc>
          <w:tcPr>
            <w:tcW w:w="2424"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Subscriptions</w:t>
            </w:r>
          </w:p>
        </w:tc>
        <w:tc>
          <w:tcPr>
            <w:tcW w:w="699"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72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9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81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837"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3600" w:type="dxa"/>
            <w:tcBorders>
              <w:top w:val="single" w:sz="7"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 xml:space="preserve">WIOA 683.215(b)(3); 683.215(c)(2) </w:t>
            </w:r>
            <w:r w:rsidR="00756D53" w:rsidRPr="001766A5">
              <w:t xml:space="preserve">Administrative or </w:t>
            </w:r>
            <w:r w:rsidR="00957AE6">
              <w:t>p</w:t>
            </w:r>
            <w:r w:rsidR="00756D53" w:rsidRPr="001766A5">
              <w:t xml:space="preserve">rogram cost </w:t>
            </w:r>
          </w:p>
        </w:tc>
      </w:tr>
      <w:tr w:rsidR="00456307"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2B7A4E" w:rsidP="001B1B1B">
            <w:r w:rsidRPr="001766A5">
              <w:t>Sub</w:t>
            </w:r>
            <w:r w:rsidR="00D819CA">
              <w:t>-</w:t>
            </w:r>
            <w:r w:rsidRPr="001766A5">
              <w:t>recipients</w:t>
            </w:r>
            <w:r w:rsidR="00C70E25" w:rsidRPr="001766A5">
              <w:t>/contractors</w:t>
            </w:r>
            <w:r w:rsidR="00456307" w:rsidRPr="001766A5">
              <w:t xml:space="preserve"> for the purchase of </w:t>
            </w:r>
            <w:r w:rsidR="00610D06" w:rsidRPr="001766A5">
              <w:t>basic</w:t>
            </w:r>
            <w:r w:rsidR="00456307" w:rsidRPr="001766A5">
              <w:t xml:space="preserve">, </w:t>
            </w:r>
            <w:r w:rsidR="00610D06" w:rsidRPr="001766A5">
              <w:t>i</w:t>
            </w:r>
            <w:r w:rsidRPr="001766A5">
              <w:t>ndividualized</w:t>
            </w:r>
            <w:r w:rsidR="00610D06" w:rsidRPr="001766A5">
              <w:t xml:space="preserve"> and follow</w:t>
            </w:r>
            <w:r w:rsidRPr="001766A5">
              <w:t xml:space="preserve"> </w:t>
            </w:r>
            <w:r w:rsidR="00610D06" w:rsidRPr="001766A5">
              <w:t>up</w:t>
            </w:r>
            <w:r w:rsidR="00456307" w:rsidRPr="001766A5">
              <w:t xml:space="preserve"> training services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 xml:space="preserve">WIOA 683.215(c)(4). MN Program cost: Direct customer cost is only to be charged if a training payment (i.e., tuition, ITA, etc.)  is directly made to the customer or on behalf of the customer. </w:t>
            </w:r>
          </w:p>
        </w:tc>
      </w:tr>
      <w:tr w:rsidR="00456307"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Supervisors</w:t>
            </w:r>
            <w:r w:rsidR="00D819CA">
              <w:t>,</w:t>
            </w:r>
            <w:r w:rsidRPr="001766A5">
              <w:t xml:space="preserve"> front-line</w:t>
            </w:r>
          </w:p>
          <w:p w:rsidR="00456307" w:rsidRPr="001766A5" w:rsidRDefault="00456307" w:rsidP="001B1B1B">
            <w:r w:rsidRPr="001766A5">
              <w:t>Supervisors</w:t>
            </w:r>
            <w:r w:rsidR="00D819CA">
              <w:t xml:space="preserve">, </w:t>
            </w:r>
            <w:r w:rsidRPr="001766A5">
              <w:t>admin/other/non-</w:t>
            </w:r>
            <w:r w:rsidR="00D819CA">
              <w:t>f</w:t>
            </w:r>
            <w:r w:rsidRPr="001766A5">
              <w:t>rontline</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D82C50"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 xml:space="preserve">WIOA 683.215(c)(2). Administrative </w:t>
            </w:r>
            <w:r w:rsidR="003D5D32">
              <w:t>C</w:t>
            </w:r>
            <w:r w:rsidRPr="001766A5">
              <w:t xml:space="preserve">ost if related to admin functions. Program cost if related to program functions </w:t>
            </w:r>
          </w:p>
        </w:tc>
      </w:tr>
      <w:tr w:rsidR="00456307" w:rsidRPr="000B7024" w:rsidTr="006A4D99">
        <w:trPr>
          <w:cantSplit/>
        </w:trPr>
        <w:tc>
          <w:tcPr>
            <w:tcW w:w="2424"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Supplies</w:t>
            </w:r>
          </w:p>
        </w:tc>
        <w:tc>
          <w:tcPr>
            <w:tcW w:w="699"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72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9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837"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36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 xml:space="preserve">WIOA 683.215(b)(3); 683.215(c)(2). </w:t>
            </w:r>
            <w:r w:rsidR="00756D53" w:rsidRPr="001766A5">
              <w:t xml:space="preserve">Admin or Program function </w:t>
            </w:r>
          </w:p>
        </w:tc>
      </w:tr>
      <w:tr w:rsidR="00456307"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Taxes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UG 200.470</w:t>
            </w:r>
          </w:p>
          <w:p w:rsidR="00456307" w:rsidRPr="001766A5" w:rsidRDefault="00456307" w:rsidP="001B1B1B">
            <w:r w:rsidRPr="001766A5">
              <w:t xml:space="preserve">WIOA 683.215(b)(3); 683.215(c)(2). Administrative </w:t>
            </w:r>
            <w:r w:rsidR="00756D53" w:rsidRPr="001766A5">
              <w:t>or Program function</w:t>
            </w:r>
          </w:p>
        </w:tc>
      </w:tr>
      <w:tr w:rsidR="002B38BD"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r w:rsidRPr="001766A5">
              <w:lastRenderedPageBreak/>
              <w:t>Testing (</w:t>
            </w:r>
            <w:r w:rsidR="00D819CA">
              <w:t>e</w:t>
            </w:r>
            <w:r w:rsidRPr="001766A5">
              <w:t>ducational) fees, training-related applications, tests, and certifications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r w:rsidRPr="001766A5">
              <w:t>X</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B38BD" w:rsidRPr="001766A5" w:rsidRDefault="002B38BD" w:rsidP="001B1B1B">
            <w:r w:rsidRPr="001766A5">
              <w:t>WIOA Sec 134(c)(2) and (3) and WIOA 680.900</w:t>
            </w:r>
          </w:p>
        </w:tc>
      </w:tr>
      <w:tr w:rsidR="00456307" w:rsidRPr="000B7024" w:rsidTr="006A4D99">
        <w:trPr>
          <w:cantSplit/>
        </w:trPr>
        <w:tc>
          <w:tcPr>
            <w:tcW w:w="2424"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Training consultation from staff</w:t>
            </w:r>
          </w:p>
        </w:tc>
        <w:tc>
          <w:tcPr>
            <w:tcW w:w="699"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72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9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837"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36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 xml:space="preserve">WIOA 683.215(c)(6) </w:t>
            </w:r>
          </w:p>
        </w:tc>
      </w:tr>
      <w:tr w:rsidR="00456307" w:rsidRPr="000B7024" w:rsidTr="006A4D99">
        <w:trPr>
          <w:cantSplit/>
        </w:trPr>
        <w:tc>
          <w:tcPr>
            <w:tcW w:w="2424"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6A4D99" w:rsidP="001B1B1B">
            <w:r w:rsidRPr="001766A5">
              <w:t>Training and</w:t>
            </w:r>
            <w:r w:rsidR="00456307" w:rsidRPr="001766A5">
              <w:t xml:space="preserve"> </w:t>
            </w:r>
            <w:r w:rsidR="00D819CA">
              <w:t>t</w:t>
            </w:r>
            <w:r w:rsidR="00456307" w:rsidRPr="001766A5">
              <w:t>raining payments</w:t>
            </w:r>
            <w:r w:rsidR="00D819CA">
              <w:t>—</w:t>
            </w:r>
            <w:r w:rsidRPr="001766A5">
              <w:t>OJT, incumbent</w:t>
            </w:r>
            <w:r w:rsidR="00C54C03">
              <w:t xml:space="preserve"> worker, </w:t>
            </w:r>
            <w:r w:rsidR="00456307" w:rsidRPr="001766A5">
              <w:t>occupational skills, ABE, skill upgrading, entrepreneurial, job readiness, customized training, entrance fees</w:t>
            </w:r>
          </w:p>
        </w:tc>
        <w:tc>
          <w:tcPr>
            <w:tcW w:w="699"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72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9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X</w:t>
            </w:r>
          </w:p>
        </w:tc>
        <w:tc>
          <w:tcPr>
            <w:tcW w:w="81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837"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tc>
        <w:tc>
          <w:tcPr>
            <w:tcW w:w="3600" w:type="dxa"/>
            <w:tcBorders>
              <w:top w:val="single" w:sz="8" w:space="0" w:color="000000"/>
              <w:left w:val="single" w:sz="7" w:space="0" w:color="000000"/>
              <w:bottom w:val="single" w:sz="8" w:space="0" w:color="000000"/>
              <w:right w:val="single" w:sz="7" w:space="0" w:color="000000"/>
            </w:tcBorders>
            <w:tcMar>
              <w:top w:w="29" w:type="dxa"/>
              <w:left w:w="29" w:type="dxa"/>
              <w:bottom w:w="29" w:type="dxa"/>
              <w:right w:w="29" w:type="dxa"/>
            </w:tcMar>
          </w:tcPr>
          <w:p w:rsidR="00456307" w:rsidRPr="001766A5" w:rsidRDefault="00456307" w:rsidP="001B1B1B">
            <w:r w:rsidRPr="001766A5">
              <w:t>OJT: WIOA Law, Sec 3 (44)</w:t>
            </w:r>
          </w:p>
          <w:p w:rsidR="00456307" w:rsidRPr="001766A5" w:rsidRDefault="00804C66" w:rsidP="001B1B1B">
            <w:r w:rsidRPr="001766A5">
              <w:t xml:space="preserve">WIOA 680.200 </w:t>
            </w:r>
          </w:p>
        </w:tc>
      </w:tr>
      <w:tr w:rsidR="00456307"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Training plans</w:t>
            </w:r>
            <w:r w:rsidR="00D819CA">
              <w:t>—</w:t>
            </w:r>
            <w:r w:rsidRPr="001766A5">
              <w:t xml:space="preserve">development of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456307" w:rsidRPr="001766A5" w:rsidRDefault="00456307" w:rsidP="001B1B1B">
            <w:r w:rsidRPr="001766A5">
              <w:t xml:space="preserve">WIOA 680.210 thru 680.330, </w:t>
            </w:r>
          </w:p>
        </w:tc>
      </w:tr>
      <w:tr w:rsidR="002475C6"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Training services</w:t>
            </w:r>
            <w:r w:rsidR="00D819CA">
              <w:t>—</w:t>
            </w:r>
            <w:r w:rsidRPr="001766A5">
              <w:t xml:space="preserve">also see </w:t>
            </w:r>
            <w:r w:rsidR="00D819CA">
              <w:t>t</w:t>
            </w:r>
            <w:r w:rsidRPr="001766A5">
              <w:t>raining payments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A2629F"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WIOA 680.200 thru 680.220</w:t>
            </w:r>
            <w:r w:rsidR="00804C66" w:rsidRPr="001766A5">
              <w:br/>
            </w:r>
          </w:p>
        </w:tc>
      </w:tr>
      <w:tr w:rsidR="002475C6"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Transportation for participants/</w:t>
            </w:r>
            <w:r w:rsidR="00D819CA">
              <w:t>t</w:t>
            </w:r>
            <w:r w:rsidRPr="001766A5">
              <w:t>ravel for staff</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 xml:space="preserve">WIOA 683.215(b)(4); 683.215(c)(2) Administrative </w:t>
            </w:r>
            <w:r w:rsidR="00756D53" w:rsidRPr="001766A5">
              <w:t xml:space="preserve">or Program function. </w:t>
            </w:r>
            <w:r w:rsidRPr="001766A5">
              <w:t>Transportation costs for participants would be ‘Support Services’. Travel costs for sta</w:t>
            </w:r>
            <w:r w:rsidR="00124F2D" w:rsidRPr="001766A5">
              <w:t>ff could be administrative or ‘Career or Direct Services related</w:t>
            </w:r>
            <w:r w:rsidRPr="001766A5">
              <w:t>’ for program staff if related to participants.</w:t>
            </w:r>
          </w:p>
        </w:tc>
      </w:tr>
      <w:tr w:rsidR="002475C6" w:rsidRPr="000B7024" w:rsidTr="006A4D99">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Unemployment Insurance</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r w:rsidRPr="001766A5">
              <w:t>X</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475C6" w:rsidP="001B1B1B"/>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tcPr>
          <w:p w:rsidR="002475C6" w:rsidRPr="001766A5" w:rsidRDefault="0028039C" w:rsidP="001B1B1B">
            <w:r w:rsidRPr="001766A5">
              <w:t>WIOA 683.215(6).</w:t>
            </w:r>
            <w:r w:rsidR="00A50508" w:rsidRPr="001766A5">
              <w:t xml:space="preserve"> </w:t>
            </w:r>
            <w:r w:rsidR="002475C6" w:rsidRPr="001766A5">
              <w:t xml:space="preserve">If a subgrantee staff person </w:t>
            </w:r>
            <w:r w:rsidR="00BD0DEE" w:rsidRPr="001766A5">
              <w:t xml:space="preserve">is </w:t>
            </w:r>
            <w:r w:rsidR="002475C6" w:rsidRPr="001766A5">
              <w:t>collecting UI benefits, those UI costs can be charged</w:t>
            </w:r>
            <w:r w:rsidRPr="001766A5">
              <w:t xml:space="preserve"> – depending on whether they were admin cost or program cost</w:t>
            </w:r>
            <w:r w:rsidR="002475C6" w:rsidRPr="001766A5">
              <w:t>.</w:t>
            </w:r>
          </w:p>
        </w:tc>
      </w:tr>
    </w:tbl>
    <w:p w:rsidR="006A4D99" w:rsidRDefault="006A4D99" w:rsidP="006A4D99">
      <w:r>
        <w:br w:type="page"/>
      </w:r>
    </w:p>
    <w:tbl>
      <w:tblPr>
        <w:tblW w:w="10800" w:type="dxa"/>
        <w:tblInd w:w="-252" w:type="dxa"/>
        <w:tblLayout w:type="fixed"/>
        <w:tblCellMar>
          <w:left w:w="18" w:type="dxa"/>
          <w:right w:w="18" w:type="dxa"/>
        </w:tblCellMar>
        <w:tblLook w:val="0000" w:firstRow="0" w:lastRow="0" w:firstColumn="0" w:lastColumn="0" w:noHBand="0" w:noVBand="0"/>
      </w:tblPr>
      <w:tblGrid>
        <w:gridCol w:w="2424"/>
        <w:gridCol w:w="6"/>
        <w:gridCol w:w="630"/>
        <w:gridCol w:w="872"/>
        <w:gridCol w:w="630"/>
        <w:gridCol w:w="928"/>
        <w:gridCol w:w="872"/>
        <w:gridCol w:w="748"/>
        <w:gridCol w:w="48"/>
        <w:gridCol w:w="6"/>
        <w:gridCol w:w="3636"/>
      </w:tblGrid>
      <w:tr w:rsidR="00B62973" w:rsidRPr="000B7024" w:rsidTr="00A518A4">
        <w:trPr>
          <w:cantSplit/>
          <w:tblHeader/>
        </w:trPr>
        <w:tc>
          <w:tcPr>
            <w:tcW w:w="2430" w:type="dxa"/>
            <w:gridSpan w:val="2"/>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2278B2" w:rsidP="00A518A4">
            <w:pPr>
              <w:spacing w:after="0"/>
              <w:rPr>
                <w:b/>
              </w:rPr>
            </w:pPr>
            <w:r w:rsidRPr="00A518A4">
              <w:rPr>
                <w:b/>
                <w:color w:val="385623" w:themeColor="accent6" w:themeShade="80"/>
                <w:sz w:val="36"/>
              </w:rPr>
              <w:lastRenderedPageBreak/>
              <w:t>ALLOWABLE COSTS</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jc w:val="center"/>
              <w:rPr>
                <w:b/>
              </w:rPr>
            </w:pPr>
            <w:r w:rsidRPr="00A518A4">
              <w:rPr>
                <w:b/>
              </w:rPr>
              <w:t>DOL Model</w:t>
            </w:r>
          </w:p>
        </w:tc>
        <w:tc>
          <w:tcPr>
            <w:tcW w:w="3232" w:type="dxa"/>
            <w:gridSpan w:val="6"/>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jc w:val="center"/>
              <w:rPr>
                <w:b/>
              </w:rPr>
            </w:pPr>
            <w:r w:rsidRPr="00A518A4">
              <w:rPr>
                <w:b/>
              </w:rPr>
              <w:t>Minnesota Model</w:t>
            </w:r>
          </w:p>
        </w:tc>
        <w:tc>
          <w:tcPr>
            <w:tcW w:w="3636" w:type="dxa"/>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1A5B0F" w:rsidRPr="00A518A4" w:rsidRDefault="001A5B0F" w:rsidP="00A518A4">
            <w:pPr>
              <w:spacing w:after="0"/>
              <w:rPr>
                <w:b/>
                <w:color w:val="00B050"/>
              </w:rPr>
            </w:pPr>
            <w:r w:rsidRPr="00A518A4">
              <w:rPr>
                <w:b/>
              </w:rPr>
              <w:t>WIOA 680.910 and 920</w:t>
            </w:r>
            <w:r w:rsidR="008A1660" w:rsidRPr="00A518A4">
              <w:rPr>
                <w:b/>
              </w:rPr>
              <w:t xml:space="preserve">   Supportive Services overall ca</w:t>
            </w:r>
            <w:r w:rsidR="007E4B95" w:rsidRPr="00A518A4">
              <w:rPr>
                <w:b/>
              </w:rPr>
              <w:t xml:space="preserve">n be provided to participants </w:t>
            </w:r>
          </w:p>
        </w:tc>
      </w:tr>
      <w:tr w:rsidR="00B62973" w:rsidRPr="000B7024" w:rsidTr="00A518A4">
        <w:trPr>
          <w:cantSplit/>
          <w:tblHeader/>
        </w:trPr>
        <w:tc>
          <w:tcPr>
            <w:tcW w:w="2430" w:type="dxa"/>
            <w:gridSpan w:val="2"/>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7C2D5C" w:rsidP="00A518A4">
            <w:pPr>
              <w:spacing w:after="0"/>
              <w:rPr>
                <w:b/>
              </w:rPr>
            </w:pPr>
            <w:r w:rsidRPr="00A518A4">
              <w:rPr>
                <w:b/>
                <w:sz w:val="28"/>
              </w:rPr>
              <w:t>Support Services</w:t>
            </w:r>
          </w:p>
        </w:tc>
        <w:tc>
          <w:tcPr>
            <w:tcW w:w="630" w:type="dxa"/>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rPr>
                <w:b/>
                <w:sz w:val="20"/>
              </w:rPr>
            </w:pPr>
            <w:r w:rsidRPr="00A518A4">
              <w:rPr>
                <w:b/>
                <w:sz w:val="20"/>
              </w:rPr>
              <w:t>Admin</w:t>
            </w:r>
          </w:p>
        </w:tc>
        <w:tc>
          <w:tcPr>
            <w:tcW w:w="872" w:type="dxa"/>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rPr>
                <w:b/>
                <w:sz w:val="20"/>
              </w:rPr>
            </w:pPr>
            <w:r w:rsidRPr="00A518A4">
              <w:rPr>
                <w:b/>
                <w:sz w:val="20"/>
              </w:rPr>
              <w:t>Program</w:t>
            </w:r>
          </w:p>
        </w:tc>
        <w:tc>
          <w:tcPr>
            <w:tcW w:w="630" w:type="dxa"/>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rPr>
                <w:b/>
                <w:sz w:val="20"/>
              </w:rPr>
            </w:pPr>
            <w:r w:rsidRPr="00A518A4">
              <w:rPr>
                <w:b/>
                <w:sz w:val="20"/>
              </w:rPr>
              <w:t>Admin</w:t>
            </w:r>
          </w:p>
        </w:tc>
        <w:tc>
          <w:tcPr>
            <w:tcW w:w="928" w:type="dxa"/>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rPr>
                <w:b/>
                <w:sz w:val="20"/>
              </w:rPr>
            </w:pPr>
            <w:r w:rsidRPr="00A518A4">
              <w:rPr>
                <w:b/>
                <w:sz w:val="20"/>
              </w:rPr>
              <w:t>Direct Customer Training</w:t>
            </w:r>
          </w:p>
        </w:tc>
        <w:tc>
          <w:tcPr>
            <w:tcW w:w="872" w:type="dxa"/>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A4527" w:rsidP="00A518A4">
            <w:pPr>
              <w:spacing w:after="0"/>
              <w:rPr>
                <w:b/>
                <w:sz w:val="20"/>
              </w:rPr>
            </w:pPr>
            <w:r w:rsidRPr="00A518A4">
              <w:rPr>
                <w:b/>
                <w:sz w:val="20"/>
              </w:rPr>
              <w:t>Career Services-Direct Services</w:t>
            </w:r>
          </w:p>
        </w:tc>
        <w:tc>
          <w:tcPr>
            <w:tcW w:w="796" w:type="dxa"/>
            <w:gridSpan w:val="2"/>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rPr>
                <w:b/>
                <w:sz w:val="20"/>
              </w:rPr>
            </w:pPr>
            <w:r w:rsidRPr="00A518A4">
              <w:rPr>
                <w:b/>
                <w:sz w:val="20"/>
              </w:rPr>
              <w:t>Support Services</w:t>
            </w:r>
          </w:p>
        </w:tc>
        <w:tc>
          <w:tcPr>
            <w:tcW w:w="3642" w:type="dxa"/>
            <w:gridSpan w:val="2"/>
            <w:tcBorders>
              <w:top w:val="single" w:sz="8" w:space="0" w:color="000000"/>
              <w:left w:val="single" w:sz="8" w:space="0" w:color="000000"/>
              <w:bottom w:val="single" w:sz="8" w:space="0" w:color="000000"/>
              <w:right w:val="single" w:sz="8" w:space="0" w:color="000000"/>
            </w:tcBorders>
            <w:shd w:val="clear" w:color="auto" w:fill="F2F2F2"/>
            <w:tcMar>
              <w:top w:w="29" w:type="dxa"/>
              <w:left w:w="43" w:type="dxa"/>
              <w:bottom w:w="29" w:type="dxa"/>
              <w:right w:w="29" w:type="dxa"/>
            </w:tcMar>
            <w:vAlign w:val="center"/>
          </w:tcPr>
          <w:p w:rsidR="00B62973" w:rsidRPr="00A518A4" w:rsidRDefault="00B62973" w:rsidP="00A518A4">
            <w:pPr>
              <w:spacing w:after="0"/>
              <w:jc w:val="center"/>
              <w:rPr>
                <w:b/>
              </w:rPr>
            </w:pPr>
            <w:r w:rsidRPr="00A518A4">
              <w:rPr>
                <w:b/>
              </w:rPr>
              <w:t>Notes/Comments</w:t>
            </w:r>
          </w:p>
        </w:tc>
      </w:tr>
      <w:tr w:rsidR="00B62973" w:rsidRPr="000B7024" w:rsidTr="00A518A4">
        <w:trPr>
          <w:cantSplit/>
        </w:trPr>
        <w:tc>
          <w:tcPr>
            <w:tcW w:w="2430" w:type="dxa"/>
            <w:gridSpan w:val="2"/>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Allowances</w:t>
            </w:r>
            <w:r w:rsidR="00DE5484" w:rsidRPr="001766A5">
              <w:t xml:space="preserve"> for books, fees, supplies, and other necessary item</w:t>
            </w:r>
            <w:r w:rsidR="000F45DF" w:rsidRPr="001766A5">
              <w:t>s for students enrolled in post</w:t>
            </w:r>
            <w:r w:rsidR="00DE5484" w:rsidRPr="001766A5">
              <w:t xml:space="preserve">secondary education </w:t>
            </w:r>
          </w:p>
        </w:tc>
        <w:tc>
          <w:tcPr>
            <w:tcW w:w="630"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872"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630"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928"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872"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796" w:type="dxa"/>
            <w:gridSpan w:val="2"/>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3642" w:type="dxa"/>
            <w:gridSpan w:val="2"/>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DE5484" w:rsidP="00A518A4">
            <w:r w:rsidRPr="001766A5">
              <w:t xml:space="preserve">WIOA Sec 134(c)(2) and (3) and WIOA 680.900 </w:t>
            </w:r>
          </w:p>
        </w:tc>
      </w:tr>
      <w:tr w:rsidR="00A53FF8" w:rsidRPr="000B7024" w:rsidTr="00A518A4">
        <w:trPr>
          <w:cantSplit/>
          <w:trHeight w:val="325"/>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r w:rsidRPr="001766A5">
              <w:t xml:space="preserve">Child </w:t>
            </w:r>
            <w:r w:rsidR="00D819CA">
              <w:t>c</w:t>
            </w:r>
            <w:r w:rsidRPr="001766A5">
              <w:t>are</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r w:rsidRPr="001766A5">
              <w:t>X</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tc>
        <w:tc>
          <w:tcPr>
            <w:tcW w:w="796"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r w:rsidRPr="001766A5">
              <w:t>X</w:t>
            </w:r>
          </w:p>
        </w:tc>
        <w:tc>
          <w:tcPr>
            <w:tcW w:w="3642"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3FF8" w:rsidRPr="001766A5" w:rsidRDefault="00A53FF8" w:rsidP="001B1B1B">
            <w:r w:rsidRPr="001766A5">
              <w:t xml:space="preserve">WIOA Sec 134(c)(2) and (3) and WIOA 680.900 </w:t>
            </w:r>
          </w:p>
        </w:tc>
      </w:tr>
      <w:tr w:rsidR="00B62973" w:rsidRPr="000B7024" w:rsidTr="00A518A4">
        <w:trPr>
          <w:cantSplit/>
          <w:trHeight w:val="325"/>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Clothing</w:t>
            </w:r>
            <w:r w:rsidR="009446B1" w:rsidRPr="001766A5">
              <w:t>/</w:t>
            </w:r>
            <w:r w:rsidR="00D819CA">
              <w:t>u</w:t>
            </w:r>
            <w:r w:rsidR="009446B1" w:rsidRPr="001766A5">
              <w:t xml:space="preserve">niforms/other appropriate work attire and </w:t>
            </w:r>
            <w:r w:rsidR="00A518A4" w:rsidRPr="001766A5">
              <w:t>work-related</w:t>
            </w:r>
            <w:r w:rsidR="009446B1" w:rsidRPr="001766A5">
              <w:t xml:space="preserve"> tools, including eyeglasses and protective eye gear</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796"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3642"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9446B1" w:rsidP="001B1B1B">
            <w:r w:rsidRPr="001766A5">
              <w:t xml:space="preserve">WIOA Sec 134(c)(2) and (3) and WIOA 680.900 </w:t>
            </w:r>
          </w:p>
        </w:tc>
      </w:tr>
      <w:tr w:rsidR="00A53FF8" w:rsidRPr="000B7024" w:rsidTr="00A518A4">
        <w:trPr>
          <w:cantSplit/>
          <w:trHeight w:val="325"/>
        </w:trPr>
        <w:tc>
          <w:tcPr>
            <w:tcW w:w="2430"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r w:rsidRPr="001766A5">
              <w:t xml:space="preserve">Community </w:t>
            </w:r>
            <w:r w:rsidR="00D819CA">
              <w:t>s</w:t>
            </w:r>
            <w:r w:rsidRPr="001766A5">
              <w:t xml:space="preserve">ervices, </w:t>
            </w:r>
            <w:r w:rsidR="00D819CA">
              <w:t>r</w:t>
            </w:r>
            <w:r w:rsidRPr="001766A5">
              <w:t xml:space="preserve">eferrals and </w:t>
            </w:r>
            <w:r w:rsidR="00D819CA">
              <w:t>l</w:t>
            </w:r>
            <w:r w:rsidRPr="001766A5">
              <w:t>inkages</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r w:rsidRPr="001766A5">
              <w:t>X</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tc>
        <w:tc>
          <w:tcPr>
            <w:tcW w:w="928"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tc>
        <w:tc>
          <w:tcPr>
            <w:tcW w:w="796"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r w:rsidRPr="001766A5">
              <w:t>X</w:t>
            </w:r>
          </w:p>
        </w:tc>
        <w:tc>
          <w:tcPr>
            <w:tcW w:w="3642"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A53FF8" w:rsidRPr="001766A5" w:rsidRDefault="00A53FF8" w:rsidP="001B1B1B">
            <w:r w:rsidRPr="001766A5">
              <w:t xml:space="preserve">WIOA 680.900 </w:t>
            </w:r>
          </w:p>
        </w:tc>
      </w:tr>
      <w:tr w:rsidR="003877C5" w:rsidRPr="000B7024" w:rsidTr="00A518A4">
        <w:trPr>
          <w:cantSplit/>
          <w:trHeight w:val="325"/>
        </w:trPr>
        <w:tc>
          <w:tcPr>
            <w:tcW w:w="2430"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 xml:space="preserve">Emergency </w:t>
            </w:r>
            <w:r w:rsidR="00D819CA">
              <w:t>f</w:t>
            </w:r>
            <w:r w:rsidRPr="001766A5">
              <w:t>inancial assistance</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X</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928"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796"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X</w:t>
            </w:r>
          </w:p>
        </w:tc>
        <w:tc>
          <w:tcPr>
            <w:tcW w:w="3642"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 xml:space="preserve">WIOA 680.930 thru 680.970  </w:t>
            </w:r>
          </w:p>
          <w:p w:rsidR="003877C5" w:rsidRPr="001766A5" w:rsidRDefault="003877C5" w:rsidP="001B1B1B">
            <w:pPr>
              <w:rPr>
                <w:rFonts w:cs="Calibri"/>
                <w:color w:val="00B050"/>
              </w:rPr>
            </w:pPr>
            <w:r w:rsidRPr="001766A5">
              <w:rPr>
                <w:rFonts w:cs="Calibri"/>
              </w:rPr>
              <w:t xml:space="preserve">MN:  Supportive cost. </w:t>
            </w:r>
            <w:r w:rsidRPr="001766A5">
              <w:rPr>
                <w:rFonts w:cs="Calibri"/>
                <w:i/>
                <w:iCs/>
              </w:rPr>
              <w:t xml:space="preserve">DEED Policy - </w:t>
            </w:r>
            <w:hyperlink r:id="rId9" w:history="1">
              <w:r w:rsidRPr="001766A5">
                <w:rPr>
                  <w:color w:val="2E74B5"/>
                  <w:u w:val="single"/>
                </w:rPr>
                <w:t>https://apps.deed.state.mn.us/ddp/PolicyDetail.aspx?pol=509</w:t>
              </w:r>
            </w:hyperlink>
          </w:p>
        </w:tc>
      </w:tr>
      <w:tr w:rsidR="003877C5" w:rsidRPr="000B7024" w:rsidTr="00A518A4">
        <w:trPr>
          <w:cantSplit/>
          <w:trHeight w:val="325"/>
        </w:trPr>
        <w:tc>
          <w:tcPr>
            <w:tcW w:w="2430"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 xml:space="preserve">Healthcare </w:t>
            </w:r>
            <w:r w:rsidR="00D819CA">
              <w:t>r</w:t>
            </w:r>
            <w:r w:rsidRPr="001766A5">
              <w:t>eferrals</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X</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928"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tc>
        <w:tc>
          <w:tcPr>
            <w:tcW w:w="796"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X</w:t>
            </w:r>
          </w:p>
        </w:tc>
        <w:tc>
          <w:tcPr>
            <w:tcW w:w="3642"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3877C5" w:rsidRPr="001766A5" w:rsidRDefault="003877C5" w:rsidP="001B1B1B">
            <w:r w:rsidRPr="001766A5">
              <w:t xml:space="preserve">WIOA Sec 134(c)(2) and (3) and WIOA 680.900 </w:t>
            </w:r>
          </w:p>
        </w:tc>
      </w:tr>
      <w:tr w:rsidR="00B62973" w:rsidRPr="000B7024" w:rsidTr="00A518A4">
        <w:trPr>
          <w:cantSplit/>
          <w:trHeight w:val="325"/>
        </w:trPr>
        <w:tc>
          <w:tcPr>
            <w:tcW w:w="2430"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B62973" w:rsidP="001B1B1B">
            <w:r w:rsidRPr="001766A5">
              <w:t>Housing/rental assistance</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B62973" w:rsidP="001B1B1B">
            <w:pPr>
              <w:rPr>
                <w:highlight w:val="magenta"/>
              </w:rPr>
            </w:pPr>
          </w:p>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630"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B62973" w:rsidP="001B1B1B"/>
        </w:tc>
        <w:tc>
          <w:tcPr>
            <w:tcW w:w="928"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B62973" w:rsidP="001B1B1B"/>
        </w:tc>
        <w:tc>
          <w:tcPr>
            <w:tcW w:w="872" w:type="dxa"/>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B62973" w:rsidP="001B1B1B"/>
        </w:tc>
        <w:tc>
          <w:tcPr>
            <w:tcW w:w="796"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3642" w:type="dxa"/>
            <w:gridSpan w:val="2"/>
            <w:tcBorders>
              <w:top w:val="single" w:sz="7" w:space="0" w:color="000000"/>
              <w:left w:val="single" w:sz="7" w:space="0" w:color="000000"/>
              <w:bottom w:val="single" w:sz="8" w:space="0" w:color="000000"/>
              <w:right w:val="single" w:sz="7" w:space="0" w:color="000000"/>
            </w:tcBorders>
            <w:tcMar>
              <w:top w:w="29" w:type="dxa"/>
              <w:left w:w="43" w:type="dxa"/>
              <w:bottom w:w="29" w:type="dxa"/>
              <w:right w:w="29" w:type="dxa"/>
            </w:tcMar>
          </w:tcPr>
          <w:p w:rsidR="00B62973" w:rsidRPr="001766A5" w:rsidRDefault="00817601" w:rsidP="001B1B1B">
            <w:r w:rsidRPr="001766A5">
              <w:t xml:space="preserve">WIOA Sec 134(c)(2) and (3) and WIOA 680.900 </w:t>
            </w:r>
          </w:p>
        </w:tc>
      </w:tr>
      <w:tr w:rsidR="00B62973" w:rsidRPr="000B7024" w:rsidTr="00A518A4">
        <w:trPr>
          <w:cantSplit/>
        </w:trPr>
        <w:tc>
          <w:tcPr>
            <w:tcW w:w="2430" w:type="dxa"/>
            <w:gridSpan w:val="2"/>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r w:rsidRPr="001766A5">
              <w:t>Incentive/bonus payments (Youth)</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r w:rsidRPr="001766A5">
              <w:t>X</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tc>
        <w:tc>
          <w:tcPr>
            <w:tcW w:w="928"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tc>
        <w:tc>
          <w:tcPr>
            <w:tcW w:w="796" w:type="dxa"/>
            <w:gridSpan w:val="2"/>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r w:rsidRPr="001766A5">
              <w:t>X</w:t>
            </w:r>
          </w:p>
        </w:tc>
        <w:tc>
          <w:tcPr>
            <w:tcW w:w="3642" w:type="dxa"/>
            <w:gridSpan w:val="2"/>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B62973" w:rsidRPr="001766A5" w:rsidRDefault="00B62973" w:rsidP="001B1B1B">
            <w:r w:rsidRPr="001766A5">
              <w:t>Use Youth’s applicable cost category.</w:t>
            </w:r>
          </w:p>
          <w:p w:rsidR="00BA4527" w:rsidRPr="001766A5" w:rsidRDefault="00BA4527" w:rsidP="001B1B1B">
            <w:r w:rsidRPr="001766A5">
              <w:t>WIOA 681.640</w:t>
            </w:r>
          </w:p>
        </w:tc>
      </w:tr>
      <w:tr w:rsidR="00B62973" w:rsidRPr="000B7024" w:rsidTr="00A518A4">
        <w:trPr>
          <w:cantSplit/>
        </w:trPr>
        <w:tc>
          <w:tcPr>
            <w:tcW w:w="2430" w:type="dxa"/>
            <w:gridSpan w:val="2"/>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lastRenderedPageBreak/>
              <w:t>Internships</w:t>
            </w:r>
          </w:p>
        </w:tc>
        <w:tc>
          <w:tcPr>
            <w:tcW w:w="630"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872"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630"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928"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872" w:type="dxa"/>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r w:rsidRPr="001766A5">
              <w:t>X</w:t>
            </w:r>
          </w:p>
        </w:tc>
        <w:tc>
          <w:tcPr>
            <w:tcW w:w="796" w:type="dxa"/>
            <w:gridSpan w:val="2"/>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B62973" w:rsidP="001B1B1B"/>
        </w:tc>
        <w:tc>
          <w:tcPr>
            <w:tcW w:w="3642" w:type="dxa"/>
            <w:gridSpan w:val="2"/>
            <w:tcBorders>
              <w:top w:val="single" w:sz="8" w:space="0" w:color="000000"/>
              <w:left w:val="single" w:sz="7" w:space="0" w:color="000000"/>
              <w:bottom w:val="single" w:sz="7" w:space="0" w:color="000000"/>
              <w:right w:val="single" w:sz="7" w:space="0" w:color="000000"/>
            </w:tcBorders>
            <w:tcMar>
              <w:top w:w="29" w:type="dxa"/>
              <w:left w:w="43" w:type="dxa"/>
              <w:bottom w:w="29" w:type="dxa"/>
              <w:right w:w="29" w:type="dxa"/>
            </w:tcMar>
          </w:tcPr>
          <w:p w:rsidR="00B62973" w:rsidRPr="001766A5" w:rsidRDefault="00E47813" w:rsidP="001B1B1B">
            <w:r w:rsidRPr="001766A5">
              <w:t>WIOA Sec 134(c)(2) and (3) and WIOA 680.180</w:t>
            </w:r>
          </w:p>
          <w:p w:rsidR="00B62973" w:rsidRPr="001766A5" w:rsidRDefault="00B62973" w:rsidP="001B1B1B">
            <w:r w:rsidRPr="001766A5">
              <w:t xml:space="preserve">MN: Money paid to participants is Direct Customer Training. Other related expenditures are </w:t>
            </w:r>
            <w:proofErr w:type="gramStart"/>
            <w:r w:rsidRPr="001766A5">
              <w:t>service related</w:t>
            </w:r>
            <w:proofErr w:type="gramEnd"/>
            <w:r w:rsidRPr="001766A5">
              <w:t xml:space="preserve"> costs. </w:t>
            </w:r>
          </w:p>
        </w:tc>
      </w:tr>
      <w:tr w:rsidR="003877C5" w:rsidRPr="000B7024" w:rsidTr="00A518A4">
        <w:trPr>
          <w:cantSplit/>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r w:rsidRPr="001766A5">
              <w:t xml:space="preserve">Legal </w:t>
            </w:r>
            <w:r w:rsidR="00D819CA">
              <w:t>a</w:t>
            </w:r>
            <w:r w:rsidRPr="001766A5">
              <w:t>id services</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r w:rsidRPr="001766A5">
              <w:t>X</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tc>
        <w:tc>
          <w:tcPr>
            <w:tcW w:w="802" w:type="dxa"/>
            <w:gridSpan w:val="3"/>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r w:rsidRPr="001766A5">
              <w:t>X</w:t>
            </w:r>
          </w:p>
        </w:tc>
        <w:tc>
          <w:tcPr>
            <w:tcW w:w="363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1766A5" w:rsidRDefault="003877C5" w:rsidP="001B1B1B">
            <w:r w:rsidRPr="001766A5">
              <w:t>WIOA Sec 134(c)(2) and (3) and WIOA 680.900</w:t>
            </w:r>
          </w:p>
        </w:tc>
      </w:tr>
      <w:tr w:rsidR="001A62F5" w:rsidRPr="001A62F5" w:rsidTr="00A518A4">
        <w:trPr>
          <w:cantSplit/>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456307" w:rsidP="001B1B1B">
            <w:r w:rsidRPr="001766A5">
              <w:t>O</w:t>
            </w:r>
            <w:r w:rsidR="00804C66" w:rsidRPr="001766A5">
              <w:t>n-the-Job (O</w:t>
            </w:r>
            <w:r w:rsidRPr="001766A5">
              <w:t>JT</w:t>
            </w:r>
            <w:r w:rsidR="00804C66" w:rsidRPr="001766A5">
              <w:t>)</w:t>
            </w:r>
            <w:r w:rsidRPr="001766A5">
              <w:t xml:space="preserve"> Training</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456307"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456307" w:rsidP="001B1B1B">
            <w:r w:rsidRPr="001766A5">
              <w:t>X</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456307"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456307" w:rsidP="001B1B1B">
            <w:r w:rsidRPr="001766A5">
              <w:t>X</w:t>
            </w:r>
          </w:p>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456307" w:rsidP="001B1B1B"/>
        </w:tc>
        <w:tc>
          <w:tcPr>
            <w:tcW w:w="802" w:type="dxa"/>
            <w:gridSpan w:val="3"/>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456307" w:rsidP="001B1B1B"/>
        </w:tc>
        <w:tc>
          <w:tcPr>
            <w:tcW w:w="363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56307" w:rsidRPr="001766A5" w:rsidRDefault="00804C66" w:rsidP="001B1B1B">
            <w:r w:rsidRPr="001766A5">
              <w:t>WIOA 680.</w:t>
            </w:r>
            <w:r w:rsidR="000F45DF" w:rsidRPr="001766A5">
              <w:t>200 and</w:t>
            </w:r>
            <w:r w:rsidRPr="001766A5">
              <w:br/>
            </w:r>
            <w:r w:rsidR="000F45DF" w:rsidRPr="001766A5">
              <w:t>https://apps.deed.state.mn.us/ddp/PolicyDetail.aspx?pol=427</w:t>
            </w:r>
          </w:p>
        </w:tc>
      </w:tr>
      <w:tr w:rsidR="002D6A7D" w:rsidRPr="001A62F5" w:rsidTr="00A518A4">
        <w:trPr>
          <w:cantSplit/>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r w:rsidRPr="001766A5">
              <w:t xml:space="preserve">Reasonable accommodations for individuals with disabilities </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r w:rsidRPr="001766A5">
              <w:t>X</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tc>
        <w:tc>
          <w:tcPr>
            <w:tcW w:w="802" w:type="dxa"/>
            <w:gridSpan w:val="3"/>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r w:rsidRPr="001766A5">
              <w:t>X</w:t>
            </w:r>
          </w:p>
        </w:tc>
        <w:tc>
          <w:tcPr>
            <w:tcW w:w="363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2D6A7D" w:rsidRPr="001766A5" w:rsidRDefault="002D6A7D" w:rsidP="001B1B1B">
            <w:r w:rsidRPr="001766A5">
              <w:t xml:space="preserve">WIOA Sec 134(c)(2) and (3) and WIOA 680.900 </w:t>
            </w:r>
            <w:r w:rsidRPr="001766A5">
              <w:br/>
              <w:t>https://apps.deed.state.mn.us/ddp/PolicyDetail.aspx?pol=546</w:t>
            </w:r>
          </w:p>
        </w:tc>
      </w:tr>
      <w:tr w:rsidR="003877C5" w:rsidRPr="000B7024" w:rsidTr="00A518A4">
        <w:trPr>
          <w:cantSplit/>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387B3A" w:rsidRDefault="003877C5" w:rsidP="001B1B1B">
            <w:r w:rsidRPr="00C47381">
              <w:t>Religious/Sectarian</w:t>
            </w:r>
            <w:r w:rsidRPr="00387B3A">
              <w:t xml:space="preserve"> Activities</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387B3A" w:rsidRDefault="003877C5"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387B3A" w:rsidRDefault="003877C5" w:rsidP="001B1B1B"/>
        </w:tc>
        <w:tc>
          <w:tcPr>
            <w:tcW w:w="630" w:type="dxa"/>
            <w:tcBorders>
              <w:top w:val="single" w:sz="7" w:space="0" w:color="000000"/>
              <w:left w:val="single" w:sz="7" w:space="0" w:color="000000"/>
              <w:bottom w:val="single" w:sz="7" w:space="0" w:color="000000"/>
              <w:right w:val="single" w:sz="7" w:space="0" w:color="000000"/>
            </w:tcBorders>
            <w:shd w:val="clear" w:color="auto" w:fill="FFFFFF"/>
            <w:tcMar>
              <w:top w:w="29" w:type="dxa"/>
              <w:left w:w="43" w:type="dxa"/>
              <w:bottom w:w="29" w:type="dxa"/>
              <w:right w:w="29" w:type="dxa"/>
            </w:tcMar>
          </w:tcPr>
          <w:p w:rsidR="003877C5" w:rsidRPr="00387B3A" w:rsidRDefault="003877C5"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387B3A" w:rsidRDefault="003877C5"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387B3A" w:rsidRDefault="003877C5" w:rsidP="001B1B1B"/>
        </w:tc>
        <w:tc>
          <w:tcPr>
            <w:tcW w:w="74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387B3A" w:rsidRDefault="003877C5" w:rsidP="001B1B1B"/>
        </w:tc>
        <w:tc>
          <w:tcPr>
            <w:tcW w:w="3690" w:type="dxa"/>
            <w:gridSpan w:val="3"/>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3877C5" w:rsidRPr="00387B3A" w:rsidRDefault="003877C5" w:rsidP="001B1B1B">
            <w:r w:rsidRPr="00387B3A">
              <w:t>WIOA Section 188(a)(3) and 683.255 and 29 CFR part 2, subpart D……governs the circumstances under which Department support, including WIOA title I financial assistance, may be used to employ or train participants in religious activities. Under that subpart such assistance may be used for such employment or training only when the assistance is provided indirectly within the meaning of the Establishment Clause of the U.S. Constitution and not when the assistance is provided directly…</w:t>
            </w:r>
          </w:p>
          <w:p w:rsidR="003877C5" w:rsidRPr="00387B3A" w:rsidRDefault="003877C5" w:rsidP="001B1B1B">
            <w:proofErr w:type="gramStart"/>
            <w:r w:rsidRPr="00387B3A">
              <w:t>Generally</w:t>
            </w:r>
            <w:proofErr w:type="gramEnd"/>
            <w:r w:rsidRPr="00387B3A">
              <w:t xml:space="preserve"> not allowable.  See Unallowable Costs below.</w:t>
            </w:r>
          </w:p>
        </w:tc>
      </w:tr>
      <w:tr w:rsidR="00653C80" w:rsidRPr="000B7024" w:rsidTr="00A518A4">
        <w:trPr>
          <w:cantSplit/>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653C80" w:rsidRPr="00387B3A" w:rsidRDefault="00653C80" w:rsidP="001B1B1B">
            <w:r w:rsidRPr="00387B3A">
              <w:t>Scholarships and student aid costs</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653C80" w:rsidRPr="00387B3A" w:rsidRDefault="00653C80"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653C80" w:rsidRPr="00387B3A" w:rsidRDefault="00653C80" w:rsidP="001B1B1B">
            <w:r w:rsidRPr="00387B3A">
              <w:t>X</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Mar>
              <w:top w:w="29" w:type="dxa"/>
              <w:left w:w="43" w:type="dxa"/>
              <w:bottom w:w="29" w:type="dxa"/>
              <w:right w:w="29" w:type="dxa"/>
            </w:tcMar>
          </w:tcPr>
          <w:p w:rsidR="00653C80" w:rsidRPr="00387B3A" w:rsidRDefault="00653C80"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653C80" w:rsidRPr="00387B3A" w:rsidRDefault="00653C80" w:rsidP="001B1B1B">
            <w:r w:rsidRPr="00387B3A">
              <w:t>X</w:t>
            </w:r>
          </w:p>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653C80" w:rsidRPr="00387B3A" w:rsidRDefault="00653C80" w:rsidP="001B1B1B">
            <w:r w:rsidRPr="00387B3A">
              <w:t>X</w:t>
            </w:r>
          </w:p>
        </w:tc>
        <w:tc>
          <w:tcPr>
            <w:tcW w:w="74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653C80" w:rsidRPr="00387B3A" w:rsidRDefault="00653C80" w:rsidP="001B1B1B">
            <w:r w:rsidRPr="00387B3A">
              <w:t>X</w:t>
            </w:r>
          </w:p>
        </w:tc>
        <w:tc>
          <w:tcPr>
            <w:tcW w:w="3690" w:type="dxa"/>
            <w:gridSpan w:val="3"/>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653C80" w:rsidRPr="00387B3A" w:rsidRDefault="00653C80" w:rsidP="001B1B1B">
            <w:r w:rsidRPr="00387B3A">
              <w:t>UG 200.466</w:t>
            </w:r>
          </w:p>
        </w:tc>
      </w:tr>
      <w:tr w:rsidR="00F15575" w:rsidRPr="000B7024" w:rsidTr="00A518A4">
        <w:trPr>
          <w:cantSplit/>
          <w:trHeight w:val="415"/>
        </w:trPr>
        <w:tc>
          <w:tcPr>
            <w:tcW w:w="2430" w:type="dxa"/>
            <w:gridSpan w:val="2"/>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F15575" w:rsidRPr="00387B3A" w:rsidRDefault="00F15575" w:rsidP="001B1B1B">
            <w:r w:rsidRPr="00387B3A">
              <w:lastRenderedPageBreak/>
              <w:t>Tools</w:t>
            </w:r>
          </w:p>
        </w:tc>
        <w:tc>
          <w:tcPr>
            <w:tcW w:w="630"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F15575" w:rsidRPr="00387B3A" w:rsidRDefault="00F15575" w:rsidP="001B1B1B"/>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F15575" w:rsidRPr="00387B3A" w:rsidRDefault="00BC5E4C" w:rsidP="001B1B1B">
            <w:r w:rsidRPr="00387B3A">
              <w:t>X</w:t>
            </w:r>
          </w:p>
        </w:tc>
        <w:tc>
          <w:tcPr>
            <w:tcW w:w="630" w:type="dxa"/>
            <w:tcBorders>
              <w:top w:val="single" w:sz="7" w:space="0" w:color="000000"/>
              <w:left w:val="single" w:sz="7" w:space="0" w:color="000000"/>
              <w:bottom w:val="single" w:sz="8" w:space="0" w:color="000000"/>
              <w:right w:val="single" w:sz="7" w:space="0" w:color="000000"/>
            </w:tcBorders>
            <w:shd w:val="clear" w:color="auto" w:fill="FFFFFF"/>
            <w:tcMar>
              <w:top w:w="29" w:type="dxa"/>
              <w:left w:w="43" w:type="dxa"/>
              <w:bottom w:w="29" w:type="dxa"/>
              <w:right w:w="29" w:type="dxa"/>
            </w:tcMar>
          </w:tcPr>
          <w:p w:rsidR="00F15575" w:rsidRPr="00387B3A" w:rsidRDefault="00F15575" w:rsidP="001B1B1B"/>
        </w:tc>
        <w:tc>
          <w:tcPr>
            <w:tcW w:w="92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F15575" w:rsidRPr="00387B3A" w:rsidRDefault="00BC5E4C" w:rsidP="001B1B1B">
            <w:r w:rsidRPr="00387B3A">
              <w:t>X</w:t>
            </w:r>
          </w:p>
        </w:tc>
        <w:tc>
          <w:tcPr>
            <w:tcW w:w="872"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F15575" w:rsidRPr="00387B3A" w:rsidRDefault="00F15575" w:rsidP="001B1B1B"/>
        </w:tc>
        <w:tc>
          <w:tcPr>
            <w:tcW w:w="748"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F15575" w:rsidRPr="00387B3A" w:rsidRDefault="00F15575" w:rsidP="001B1B1B">
            <w:r w:rsidRPr="00387B3A">
              <w:t>X</w:t>
            </w:r>
          </w:p>
        </w:tc>
        <w:tc>
          <w:tcPr>
            <w:tcW w:w="3690" w:type="dxa"/>
            <w:gridSpan w:val="3"/>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F15575" w:rsidRPr="00387B3A" w:rsidRDefault="00E47813" w:rsidP="001B1B1B">
            <w:r w:rsidRPr="00387B3A">
              <w:t>WIOA Sec 134(c)(2) and (3) and WIOA 680.900</w:t>
            </w:r>
          </w:p>
        </w:tc>
      </w:tr>
      <w:tr w:rsidR="001B0ECD" w:rsidRPr="000B7024" w:rsidTr="00A518A4">
        <w:trPr>
          <w:cantSplit/>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Transportation</w:t>
            </w:r>
          </w:p>
        </w:tc>
        <w:tc>
          <w:tcPr>
            <w:tcW w:w="636" w:type="dxa"/>
            <w:gridSpan w:val="2"/>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X</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tc>
        <w:tc>
          <w:tcPr>
            <w:tcW w:w="928"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X</w:t>
            </w:r>
          </w:p>
        </w:tc>
        <w:tc>
          <w:tcPr>
            <w:tcW w:w="3690" w:type="dxa"/>
            <w:gridSpan w:val="3"/>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 xml:space="preserve">WIOA Sec 134(c)(2) and (3) and WIOA 680.900 </w:t>
            </w:r>
          </w:p>
        </w:tc>
      </w:tr>
      <w:tr w:rsidR="001B0ECD" w:rsidRPr="000B7024" w:rsidTr="00A518A4">
        <w:trPr>
          <w:cantSplit/>
          <w:trHeight w:val="4064"/>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 xml:space="preserve">Work </w:t>
            </w:r>
            <w:r w:rsidR="00D819CA">
              <w:t>e</w:t>
            </w:r>
            <w:r w:rsidRPr="00387B3A">
              <w:t xml:space="preserve">xperience </w:t>
            </w:r>
            <w:r w:rsidR="00D819CA">
              <w:t>p</w:t>
            </w:r>
            <w:r w:rsidRPr="00387B3A">
              <w:t>rogram/</w:t>
            </w:r>
            <w:r w:rsidR="00D819CA">
              <w:t>p</w:t>
            </w:r>
            <w:r w:rsidRPr="00387B3A">
              <w:t>ayments</w:t>
            </w:r>
            <w:r w:rsidR="00091B91">
              <w:t>/OJT</w:t>
            </w:r>
          </w:p>
        </w:tc>
        <w:tc>
          <w:tcPr>
            <w:tcW w:w="636" w:type="dxa"/>
            <w:gridSpan w:val="2"/>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X</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tc>
        <w:tc>
          <w:tcPr>
            <w:tcW w:w="928"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967EC3" w:rsidP="001B1B1B">
            <w:r>
              <w:t>X</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X</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tc>
        <w:tc>
          <w:tcPr>
            <w:tcW w:w="3690" w:type="dxa"/>
            <w:gridSpan w:val="3"/>
            <w:tcBorders>
              <w:top w:val="single" w:sz="8" w:space="0" w:color="000000"/>
              <w:left w:val="single" w:sz="8" w:space="0" w:color="000000"/>
              <w:bottom w:val="single" w:sz="8" w:space="0" w:color="000000"/>
              <w:right w:val="single" w:sz="8" w:space="0" w:color="000000"/>
            </w:tcBorders>
            <w:shd w:val="clear" w:color="auto" w:fill="auto"/>
            <w:tcMar>
              <w:top w:w="29" w:type="dxa"/>
              <w:left w:w="43" w:type="dxa"/>
              <w:bottom w:w="29" w:type="dxa"/>
              <w:right w:w="29" w:type="dxa"/>
            </w:tcMar>
          </w:tcPr>
          <w:p w:rsidR="001B0ECD" w:rsidRPr="00387B3A" w:rsidRDefault="001B0ECD" w:rsidP="001B1B1B">
            <w:r w:rsidRPr="00387B3A">
              <w:t>WIOA Sec 134(c)(2) and (3) and WIOA 680.180</w:t>
            </w:r>
          </w:p>
          <w:p w:rsidR="001B0ECD" w:rsidRPr="00387B3A" w:rsidRDefault="001B0ECD" w:rsidP="001B1B1B">
            <w:r w:rsidRPr="00387B3A">
              <w:t xml:space="preserve">MN: Money paid to participants is Direct Customer Training.  Other related expenditures are </w:t>
            </w:r>
            <w:r w:rsidR="00A518A4" w:rsidRPr="00387B3A">
              <w:t>Service-related</w:t>
            </w:r>
            <w:r w:rsidRPr="00387B3A">
              <w:t xml:space="preserve"> costs.</w:t>
            </w:r>
          </w:p>
        </w:tc>
      </w:tr>
    </w:tbl>
    <w:p w:rsidR="00E566B2" w:rsidRDefault="00F15575" w:rsidP="001B1B1B">
      <w:r>
        <w:br w:type="page"/>
      </w:r>
    </w:p>
    <w:tbl>
      <w:tblPr>
        <w:tblW w:w="10800" w:type="dxa"/>
        <w:tblInd w:w="-252" w:type="dxa"/>
        <w:tblLayout w:type="fixed"/>
        <w:tblCellMar>
          <w:left w:w="18" w:type="dxa"/>
          <w:right w:w="18" w:type="dxa"/>
        </w:tblCellMar>
        <w:tblLook w:val="0000" w:firstRow="0" w:lastRow="0" w:firstColumn="0" w:lastColumn="0" w:noHBand="0" w:noVBand="0"/>
      </w:tblPr>
      <w:tblGrid>
        <w:gridCol w:w="2424"/>
        <w:gridCol w:w="8376"/>
      </w:tblGrid>
      <w:tr w:rsidR="004F5FE3" w:rsidRPr="000B7024" w:rsidTr="008A64B3">
        <w:trPr>
          <w:cantSplit/>
          <w:tblHeader/>
        </w:trPr>
        <w:tc>
          <w:tcPr>
            <w:tcW w:w="2424" w:type="dxa"/>
            <w:tcBorders>
              <w:top w:val="single" w:sz="7" w:space="0" w:color="000000"/>
              <w:left w:val="single" w:sz="7" w:space="0" w:color="000000"/>
              <w:bottom w:val="single" w:sz="7" w:space="0" w:color="000000"/>
              <w:right w:val="single" w:sz="7" w:space="0" w:color="000000"/>
            </w:tcBorders>
            <w:shd w:val="clear" w:color="auto" w:fill="E7E6E6"/>
            <w:tcMar>
              <w:top w:w="29" w:type="dxa"/>
              <w:left w:w="43" w:type="dxa"/>
              <w:bottom w:w="29" w:type="dxa"/>
              <w:right w:w="29" w:type="dxa"/>
            </w:tcMar>
            <w:vAlign w:val="center"/>
          </w:tcPr>
          <w:p w:rsidR="004F5FE3" w:rsidRPr="00A518A4" w:rsidRDefault="004F5FE3" w:rsidP="00A518A4">
            <w:pPr>
              <w:spacing w:after="0"/>
              <w:rPr>
                <w:b/>
                <w:color w:val="A8D08D"/>
              </w:rPr>
            </w:pPr>
            <w:r w:rsidRPr="00A518A4">
              <w:rPr>
                <w:b/>
                <w:color w:val="385623" w:themeColor="accent6" w:themeShade="80"/>
                <w:sz w:val="32"/>
              </w:rPr>
              <w:lastRenderedPageBreak/>
              <w:t>UNALLOWABLE COSTS</w:t>
            </w:r>
          </w:p>
        </w:tc>
        <w:tc>
          <w:tcPr>
            <w:tcW w:w="8376" w:type="dxa"/>
            <w:tcBorders>
              <w:top w:val="single" w:sz="7" w:space="0" w:color="000000"/>
              <w:left w:val="single" w:sz="7" w:space="0" w:color="000000"/>
              <w:bottom w:val="single" w:sz="7" w:space="0" w:color="000000"/>
              <w:right w:val="single" w:sz="7" w:space="0" w:color="000000"/>
            </w:tcBorders>
            <w:shd w:val="clear" w:color="auto" w:fill="E7E6E6"/>
            <w:tcMar>
              <w:top w:w="29" w:type="dxa"/>
              <w:left w:w="43" w:type="dxa"/>
              <w:bottom w:w="29" w:type="dxa"/>
              <w:right w:w="29" w:type="dxa"/>
            </w:tcMar>
            <w:vAlign w:val="center"/>
          </w:tcPr>
          <w:p w:rsidR="004F5FE3" w:rsidRPr="00A518A4" w:rsidRDefault="004F5FE3" w:rsidP="00A518A4">
            <w:pPr>
              <w:spacing w:after="0"/>
              <w:jc w:val="center"/>
              <w:rPr>
                <w:b/>
                <w:sz w:val="32"/>
                <w:szCs w:val="32"/>
              </w:rPr>
            </w:pPr>
            <w:r w:rsidRPr="00A518A4">
              <w:rPr>
                <w:b/>
              </w:rPr>
              <w:t>Notes/Comments</w:t>
            </w:r>
          </w:p>
        </w:tc>
      </w:tr>
      <w:tr w:rsidR="004F5FE3" w:rsidRPr="000B7024"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 xml:space="preserve">Advertising </w:t>
            </w:r>
            <w:r w:rsidR="00D819CA">
              <w:t>and</w:t>
            </w:r>
            <w:r w:rsidRPr="00387B3A">
              <w:t xml:space="preserve"> </w:t>
            </w:r>
            <w:r w:rsidR="00D819CA">
              <w:t>p</w:t>
            </w:r>
            <w:r w:rsidRPr="00387B3A">
              <w:t xml:space="preserve">ublic </w:t>
            </w:r>
            <w:r w:rsidR="00D819CA">
              <w:t>r</w:t>
            </w:r>
            <w:r w:rsidRPr="00387B3A">
              <w:t>elations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rPr>
                <w:rFonts w:ascii="Arial" w:hAnsi="Arial"/>
              </w:rPr>
            </w:pPr>
            <w:r w:rsidRPr="00387B3A">
              <w:rPr>
                <w:rFonts w:cs="Calibri"/>
              </w:rPr>
              <w:t xml:space="preserve">UG 200.421(e)    </w:t>
            </w:r>
            <w:r w:rsidRPr="00387B3A">
              <w:t>(e) Unallowable advertising and public relations costs include the following:</w:t>
            </w:r>
            <w:r w:rsidRPr="00387B3A">
              <w:br/>
              <w:t>(1) All advertising and public relations costs other than as specified in paragraphs (b) and (d) of this section;</w:t>
            </w:r>
            <w:r w:rsidRPr="00387B3A">
              <w:br/>
              <w:t>(2) Costs of meetings, conventions, convocations, or other events related to other activities of the entity (see also §200.432 Conferences), including:</w:t>
            </w:r>
            <w:r w:rsidRPr="00387B3A">
              <w:br/>
              <w:t>(</w:t>
            </w:r>
            <w:proofErr w:type="spellStart"/>
            <w:r w:rsidRPr="00387B3A">
              <w:t>i</w:t>
            </w:r>
            <w:proofErr w:type="spellEnd"/>
            <w:r w:rsidRPr="00387B3A">
              <w:t>) Costs of displays, demonstrations, and exhibits;</w:t>
            </w:r>
            <w:r w:rsidRPr="00387B3A">
              <w:br/>
              <w:t>(ii) Costs of meeting rooms, hospitality suites, and other special facilities used in conjunction with shows and other special events; and</w:t>
            </w:r>
            <w:r w:rsidRPr="00387B3A">
              <w:br/>
              <w:t>(iii) Salaries and wages of employees engaged in setting up and displaying exhibits, making demonstrations, and providing briefings;</w:t>
            </w:r>
            <w:r w:rsidRPr="00387B3A">
              <w:br/>
              <w:t>(3) Costs of promotional items and memorabilia, including models, gifts, and souvenirs;</w:t>
            </w:r>
            <w:r w:rsidRPr="00387B3A">
              <w:br/>
              <w:t>(4) Costs of advertising and public relations designed solely to promote the non-Federal entity.</w:t>
            </w:r>
          </w:p>
        </w:tc>
      </w:tr>
      <w:tr w:rsidR="004F5FE3" w:rsidRPr="000B7024"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 xml:space="preserve">Advisory </w:t>
            </w:r>
            <w:r w:rsidR="00D819CA">
              <w:t>c</w:t>
            </w:r>
            <w:r w:rsidRPr="00387B3A">
              <w:t>ouncils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rPr>
                <w:rFonts w:cs="Calibri"/>
              </w:rPr>
            </w:pPr>
            <w:r w:rsidRPr="00387B3A">
              <w:rPr>
                <w:rFonts w:cs="Calibri"/>
              </w:rPr>
              <w:t xml:space="preserve">UG </w:t>
            </w:r>
            <w:r w:rsidR="00A518A4" w:rsidRPr="00387B3A">
              <w:rPr>
                <w:rFonts w:cs="Calibri"/>
              </w:rPr>
              <w:t>200.422 Costs</w:t>
            </w:r>
            <w:r w:rsidRPr="00387B3A">
              <w:t xml:space="preserve"> incurred by advisory councils or committees are unallowable unless authorized by statute, the Federal awarding agency or as an indirect cost where allocable to Federal awards. See §200.444 General costs of government, applicable to states, local governments and Indian tribes.</w:t>
            </w:r>
          </w:p>
        </w:tc>
      </w:tr>
      <w:tr w:rsidR="004F5FE3" w:rsidRPr="000B7024"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 xml:space="preserve">Alcoholic </w:t>
            </w:r>
            <w:r w:rsidR="00D819CA">
              <w:t>b</w:t>
            </w:r>
            <w:r w:rsidRPr="00387B3A">
              <w:t>everages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rPr>
                <w:rFonts w:cs="Calibri"/>
              </w:rPr>
            </w:pPr>
            <w:r w:rsidRPr="00387B3A">
              <w:rPr>
                <w:rFonts w:cs="Calibri"/>
              </w:rPr>
              <w:t xml:space="preserve">UG </w:t>
            </w:r>
            <w:r w:rsidR="00A518A4" w:rsidRPr="00387B3A">
              <w:rPr>
                <w:rFonts w:cs="Calibri"/>
              </w:rPr>
              <w:t>200.423 Costs</w:t>
            </w:r>
            <w:r w:rsidRPr="00387B3A">
              <w:t xml:space="preserve"> of alcoholic beverages are unallowable.</w:t>
            </w:r>
          </w:p>
        </w:tc>
      </w:tr>
      <w:tr w:rsidR="004F5FE3" w:rsidRPr="000B7024"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 xml:space="preserve">Alumni </w:t>
            </w:r>
            <w:r w:rsidR="00D819CA">
              <w:t>a</w:t>
            </w:r>
            <w:r w:rsidRPr="00387B3A">
              <w:t>ctivities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rPr>
                <w:rFonts w:cs="Calibri"/>
              </w:rPr>
            </w:pPr>
            <w:r w:rsidRPr="00387B3A">
              <w:rPr>
                <w:rFonts w:cs="Calibri"/>
              </w:rPr>
              <w:t xml:space="preserve">UG </w:t>
            </w:r>
            <w:r w:rsidR="00A518A4" w:rsidRPr="00387B3A">
              <w:rPr>
                <w:rFonts w:cs="Calibri"/>
              </w:rPr>
              <w:t>200.424 Costs</w:t>
            </w:r>
            <w:r w:rsidRPr="00387B3A">
              <w:t xml:space="preserve"> incurred by IHEs for, or in support of, alumni/ae activities are unallowable.</w:t>
            </w:r>
            <w:r w:rsidR="00184C63">
              <w:t xml:space="preserve"> Exception for graduation celebrations. Prior approval required. </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lastRenderedPageBreak/>
              <w:t xml:space="preserve">Audit </w:t>
            </w:r>
            <w:r w:rsidR="00D819CA">
              <w:t>s</w:t>
            </w:r>
            <w:r w:rsidRPr="00387B3A">
              <w:t>ervices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A518A4" w:rsidRDefault="004F5FE3" w:rsidP="001B1B1B">
            <w:r w:rsidRPr="00387B3A">
              <w:rPr>
                <w:rFonts w:cs="Calibri"/>
              </w:rPr>
              <w:t>UG 200.425 (a)(1) to (3</w:t>
            </w:r>
            <w:proofErr w:type="gramStart"/>
            <w:r w:rsidRPr="00387B3A">
              <w:rPr>
                <w:rFonts w:cs="Calibri"/>
              </w:rPr>
              <w:t xml:space="preserve">)  </w:t>
            </w:r>
            <w:r w:rsidRPr="00387B3A">
              <w:t>Any</w:t>
            </w:r>
            <w:proofErr w:type="gramEnd"/>
            <w:r w:rsidRPr="00387B3A">
              <w:t xml:space="preserve"> costs when audits required by the Single Audit Act and Subpart F—Audit Requirements of this part have not been conducted or have been conducted but not in accordance therewith; and</w:t>
            </w:r>
          </w:p>
          <w:p w:rsidR="004F5FE3" w:rsidRPr="00387B3A" w:rsidRDefault="004F5FE3" w:rsidP="001B1B1B">
            <w:r w:rsidRPr="00387B3A">
              <w:t>Any costs of auditing a non-Federal entity that is exempted from having an audit conducted under the Single Audit Act and Subpart F—Audit Requirements of this part because its expenditures under Federal awards are less than $750,000 during the non-Federal entity's fiscal year.</w:t>
            </w:r>
          </w:p>
          <w:p w:rsidR="004F5FE3" w:rsidRPr="00387B3A" w:rsidRDefault="004F5FE3" w:rsidP="001B1B1B">
            <w:r w:rsidRPr="00387B3A">
              <w:t>The costs of a financial statement audit of a non-Federal entity that does not currently have a Federal award may be included in the indirect cost pool for a cost allocation plan or indirect cost proposal.</w:t>
            </w:r>
          </w:p>
          <w:p w:rsidR="004F5FE3" w:rsidRPr="00387B3A" w:rsidRDefault="004F5FE3" w:rsidP="001B1B1B">
            <w:r w:rsidRPr="00387B3A">
              <w:t>Pass-through entities may charge Federal awards for the cost of agreed-upon-procedures engagements to monitor subrecipients (in accordance with Subpart D—Post Federal Award Requirements of this part, §§200.330 Subrecipient and contractor determinations through 200.332 Fixed Amount Subawards) who are exempted from the requirements of the Single Audit Act and Subpart F—Audit Requirements of this part. This cost is allowable only if the agreed-upon-procedures engagements are:</w:t>
            </w:r>
          </w:p>
          <w:p w:rsidR="004F5FE3" w:rsidRPr="00387B3A" w:rsidRDefault="004F5FE3" w:rsidP="001B1B1B">
            <w:r w:rsidRPr="00387B3A">
              <w:t>(1) Conducted in accordance with GAGAS attestation standards;</w:t>
            </w:r>
          </w:p>
          <w:p w:rsidR="004F5FE3" w:rsidRPr="00387B3A" w:rsidRDefault="004F5FE3" w:rsidP="001B1B1B">
            <w:r w:rsidRPr="00387B3A">
              <w:t>(2) Paid for and arranged by the pass-through entity; and</w:t>
            </w:r>
          </w:p>
          <w:p w:rsidR="004F5FE3" w:rsidRPr="00387B3A" w:rsidRDefault="004F5FE3" w:rsidP="001B1B1B">
            <w:pPr>
              <w:rPr>
                <w:rFonts w:cs="Calibri"/>
              </w:rPr>
            </w:pPr>
            <w:r w:rsidRPr="00387B3A">
              <w:t>(3) Limited in scope to one or more of the following types of compliance requirements: activities allowed or unallowed; allowable costs/cost principles; eligibility; and reporting.</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 xml:space="preserve">Bad </w:t>
            </w:r>
            <w:r w:rsidR="00D819CA">
              <w:t>d</w:t>
            </w:r>
            <w:r w:rsidRPr="00387B3A">
              <w:t>ebt</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rPr>
                <w:rFonts w:cs="Calibri"/>
              </w:rPr>
            </w:pPr>
            <w:r w:rsidRPr="00387B3A">
              <w:rPr>
                <w:rFonts w:cs="Calibri"/>
              </w:rPr>
              <w:t xml:space="preserve">UG </w:t>
            </w:r>
            <w:r w:rsidR="00A518A4" w:rsidRPr="00387B3A">
              <w:rPr>
                <w:rFonts w:cs="Calibri"/>
              </w:rPr>
              <w:t>200.426 Bad</w:t>
            </w:r>
            <w:r w:rsidRPr="00387B3A">
              <w:t xml:space="preserve">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 See also §200.428 Collections of improper payments.</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r w:rsidRPr="001766A5">
              <w:t>Contributions</w:t>
            </w:r>
            <w:r w:rsidR="00D819CA">
              <w:t>/d</w:t>
            </w:r>
            <w:r w:rsidRPr="001766A5">
              <w:t>onations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pPr>
              <w:rPr>
                <w:rFonts w:cs="Calibri"/>
              </w:rPr>
            </w:pPr>
            <w:r w:rsidRPr="001766A5">
              <w:rPr>
                <w:rFonts w:cs="Calibri"/>
              </w:rPr>
              <w:t xml:space="preserve">UG </w:t>
            </w:r>
            <w:r w:rsidR="00A518A4" w:rsidRPr="001766A5">
              <w:rPr>
                <w:rFonts w:cs="Calibri"/>
              </w:rPr>
              <w:t>200.434 (</w:t>
            </w:r>
            <w:r w:rsidRPr="001766A5">
              <w:t>a) Costs of contributions and donations, including cash, property, and services, from the non-Federal entity to other entities, are unallowable, etc.</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r w:rsidRPr="001766A5">
              <w:t xml:space="preserve">Entertainment </w:t>
            </w:r>
            <w:r w:rsidR="00D819CA">
              <w:t>c</w:t>
            </w:r>
            <w:r w:rsidRPr="001766A5">
              <w:t>osts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pPr>
              <w:rPr>
                <w:rFonts w:cs="Calibri"/>
              </w:rPr>
            </w:pPr>
            <w:r w:rsidRPr="001766A5">
              <w:rPr>
                <w:rFonts w:cs="Calibri"/>
              </w:rPr>
              <w:t xml:space="preserve">UG </w:t>
            </w:r>
            <w:r w:rsidR="00A518A4" w:rsidRPr="001766A5">
              <w:rPr>
                <w:rFonts w:cs="Calibri"/>
              </w:rPr>
              <w:t>200.438 Costs</w:t>
            </w:r>
            <w:r w:rsidRPr="001766A5">
              <w:t xml:space="preserve">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r w:rsidRPr="001766A5">
              <w:lastRenderedPageBreak/>
              <w:t xml:space="preserve">Equipment, </w:t>
            </w:r>
            <w:r w:rsidR="00D819CA">
              <w:t>s</w:t>
            </w:r>
            <w:r w:rsidRPr="001766A5">
              <w:t xml:space="preserve">pecial </w:t>
            </w:r>
            <w:r w:rsidR="00D819CA">
              <w:t>p</w:t>
            </w:r>
            <w:r w:rsidRPr="001766A5">
              <w:t xml:space="preserve">urpose </w:t>
            </w:r>
            <w:r w:rsidR="00D819CA">
              <w:t>e</w:t>
            </w:r>
            <w:r w:rsidRPr="001766A5">
              <w:t xml:space="preserve">quipment, etc. </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pPr>
              <w:rPr>
                <w:rFonts w:cs="Calibri"/>
              </w:rPr>
            </w:pPr>
            <w:r w:rsidRPr="001766A5">
              <w:rPr>
                <w:rFonts w:cs="Calibri"/>
              </w:rPr>
              <w:t xml:space="preserve">UG 200.439… (2) </w:t>
            </w:r>
            <w:r w:rsidRPr="001766A5">
              <w:t xml:space="preserve">Capital expenditures for special purpose equipment are allowable as direct costs, </w:t>
            </w:r>
            <w:proofErr w:type="gramStart"/>
            <w:r w:rsidRPr="001766A5">
              <w:t>provided that</w:t>
            </w:r>
            <w:proofErr w:type="gramEnd"/>
            <w:r w:rsidRPr="001766A5">
              <w:t xml:space="preserve"> items with a unit cost of $5,000 or more have the prior written approval of the Federal awarding agency or pass-through entity.</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r w:rsidRPr="001766A5">
              <w:t>Fines, penalties, damages, and other settlements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pPr>
              <w:rPr>
                <w:rFonts w:cs="Calibri"/>
              </w:rPr>
            </w:pPr>
            <w:r w:rsidRPr="001766A5">
              <w:rPr>
                <w:rFonts w:cs="Calibri"/>
              </w:rPr>
              <w:t xml:space="preserve">UG </w:t>
            </w:r>
            <w:r w:rsidR="006538F4" w:rsidRPr="001766A5">
              <w:rPr>
                <w:rFonts w:cs="Calibri"/>
              </w:rPr>
              <w:t>200.441 Costs</w:t>
            </w:r>
            <w:r w:rsidRPr="001766A5">
              <w:t xml:space="preserve"> resulting from non-Federal entity violations of, alleged violations of, or failure to comply with, Federal, state, tribal, local or foreign laws and regulations are unallowable, except when incurred as a result of compliance with specific provisions of the Federal award, or with prior written approval of the Federal awarding agency. See also §200.435 Defense and prosecution of criminal and civil proceedings, claims, appeals and patent infringements.</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2157BE" w:rsidP="001B1B1B">
            <w:r w:rsidRPr="001766A5">
              <w:t>Fund</w:t>
            </w:r>
            <w:r w:rsidR="004F5FE3" w:rsidRPr="001766A5">
              <w:t>raising, etc.</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735DAC" w:rsidRPr="001766A5" w:rsidRDefault="00735DAC" w:rsidP="001B1B1B">
            <w:r w:rsidRPr="001766A5">
              <w:rPr>
                <w:rFonts w:cs="Calibri"/>
              </w:rPr>
              <w:t>UG 200.442 (a)……</w:t>
            </w:r>
            <w:r w:rsidRPr="001766A5">
              <w:t xml:space="preserve"> Fund raising costs for the purposes of meeting the Federal program objectives are allowable with prior written approval from the Federal awarding agency. Proposal costs are covered in §200.460 Proposal </w:t>
            </w:r>
            <w:r w:rsidRPr="001766A5">
              <w:br/>
              <w:t xml:space="preserve">(b) Costs of investment counsel and staff and similar expenses incurred to enhance income from investments are only Allowable when associated with investments covering pension, self-insurance, or other funds which include Federal participation allowed by this part. </w:t>
            </w:r>
            <w:r w:rsidRPr="001766A5">
              <w:br/>
              <w:t>(c) Costs related to the physical custody and control of monies and securities are allowable.</w:t>
            </w:r>
            <w:r w:rsidRPr="001766A5">
              <w:br/>
              <w:t xml:space="preserve">(d) Both allowable and unallowable fund </w:t>
            </w:r>
            <w:proofErr w:type="gramStart"/>
            <w:r w:rsidRPr="001766A5">
              <w:t>raising</w:t>
            </w:r>
            <w:proofErr w:type="gramEnd"/>
            <w:r w:rsidRPr="001766A5">
              <w:t xml:space="preserve"> and investment activities must be allocated as an appropriate share of indirect costs under the conditions described in §200.413 Direct costs </w:t>
            </w:r>
          </w:p>
          <w:p w:rsidR="004F5FE3" w:rsidRPr="001766A5" w:rsidRDefault="004F5FE3" w:rsidP="001B1B1B">
            <w:pPr>
              <w:rPr>
                <w:rFonts w:cs="Calibri"/>
              </w:rPr>
            </w:pPr>
            <w:r w:rsidRPr="001766A5">
              <w:rPr>
                <w:rFonts w:cs="Calibri"/>
              </w:rPr>
              <w:t xml:space="preserve">UG </w:t>
            </w:r>
            <w:r w:rsidR="006538F4" w:rsidRPr="001766A5">
              <w:rPr>
                <w:rFonts w:cs="Calibri"/>
              </w:rPr>
              <w:t>200.442 (</w:t>
            </w:r>
            <w:r w:rsidRPr="001766A5">
              <w:t>a) Costs of organized fund raising, including financial campaigns, endowment drives, solicitation of gifts and bequests, and similar expenses incurred to raise capital or obtain contributions are unallowable</w:t>
            </w:r>
            <w:r w:rsidR="00735DAC" w:rsidRPr="001766A5">
              <w:t>…</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r w:rsidRPr="001766A5">
              <w:lastRenderedPageBreak/>
              <w:t xml:space="preserve">General </w:t>
            </w:r>
            <w:r w:rsidR="00D819CA" w:rsidRPr="001766A5">
              <w:t xml:space="preserve">Government and/or </w:t>
            </w:r>
            <w:r w:rsidR="00D819CA">
              <w:t>s</w:t>
            </w:r>
            <w:r w:rsidR="00D819CA" w:rsidRPr="001766A5">
              <w:t xml:space="preserve">ubgrantee </w:t>
            </w:r>
            <w:r w:rsidR="00D819CA">
              <w:t xml:space="preserve">costs </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1766A5" w:rsidRDefault="004F5FE3" w:rsidP="001B1B1B">
            <w:pPr>
              <w:pStyle w:val="NormalWeb"/>
            </w:pPr>
            <w:r w:rsidRPr="001766A5">
              <w:rPr>
                <w:rFonts w:cs="Calibri"/>
              </w:rPr>
              <w:t>UG 200.444   G</w:t>
            </w:r>
            <w:r w:rsidRPr="001766A5">
              <w:t>eneral costs of government are unallowable (except as provided in §200.474 Travel costs). Unallowable costs include:</w:t>
            </w:r>
          </w:p>
          <w:p w:rsidR="004F5FE3" w:rsidRPr="001766A5" w:rsidRDefault="004F5FE3" w:rsidP="001B1B1B">
            <w:r w:rsidRPr="001766A5">
              <w:t>Salaries and expenses of the Office of the Governor of a state or the chief executive of a local government or the chief executive of an Indian tribe;</w:t>
            </w:r>
          </w:p>
          <w:p w:rsidR="004F5FE3" w:rsidRPr="001766A5" w:rsidRDefault="004F5FE3" w:rsidP="001B1B1B">
            <w:r w:rsidRPr="001766A5">
              <w:t>Salaries and other expenses of a state legislature, tribal council, or similar local governmental body, such as a county supervisor, city council, school board, etc., whether incurred for purposes of legislation or executive direction;</w:t>
            </w:r>
          </w:p>
          <w:p w:rsidR="004F5FE3" w:rsidRPr="001766A5" w:rsidRDefault="004F5FE3" w:rsidP="001B1B1B">
            <w:r w:rsidRPr="001766A5">
              <w:t>Costs of the judicial branch of a government;</w:t>
            </w:r>
          </w:p>
          <w:p w:rsidR="004F5FE3" w:rsidRPr="001766A5" w:rsidRDefault="004F5FE3" w:rsidP="001B1B1B">
            <w:r w:rsidRPr="001766A5">
              <w:t>Costs of prosecutorial activities unless treated as a direct cost to a specific program if authorized by statute or regulation (however, this does not preclude the allowability of other legal activities of the Attorney General as described in §200.435 Defense and prosecution of criminal and civil proceedings, claims, appeals and patent infringements); and</w:t>
            </w:r>
          </w:p>
          <w:p w:rsidR="004F5FE3" w:rsidRPr="001766A5" w:rsidRDefault="004F5FE3" w:rsidP="001B1B1B">
            <w:r w:rsidRPr="001766A5">
              <w:t>Costs of other general types of government services normally provided to the general public, such as fire and police, unless provided for as a direct cost under a program statute or regulation.</w:t>
            </w:r>
          </w:p>
          <w:p w:rsidR="004F5FE3" w:rsidRPr="001766A5" w:rsidRDefault="004F5FE3" w:rsidP="001B1B1B">
            <w:pPr>
              <w:rPr>
                <w:rFonts w:cs="Calibri"/>
              </w:rPr>
            </w:pPr>
            <w:r w:rsidRPr="001766A5">
              <w:t>For Indian tribes and Councils of Governments (COGs) (see §200.64 Local government), up to 50% of salaries and expenses directly attributable to managing and operating Federal programs by the chief executive and his or her staff can be included in the indirect cost calculation without documentation.</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 xml:space="preserve">Goods or </w:t>
            </w:r>
            <w:r w:rsidR="00D819CA">
              <w:t>s</w:t>
            </w:r>
            <w:r w:rsidRPr="00387B3A">
              <w:t xml:space="preserve">ervices for </w:t>
            </w:r>
            <w:r w:rsidR="00D819CA">
              <w:t>p</w:t>
            </w:r>
            <w:r w:rsidRPr="00387B3A">
              <w:t xml:space="preserve">ersonal </w:t>
            </w:r>
            <w:r w:rsidR="00D819CA">
              <w:t>u</w:t>
            </w:r>
            <w:r w:rsidRPr="00387B3A">
              <w:t>se</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pStyle w:val="NormalWeb"/>
            </w:pPr>
            <w:r w:rsidRPr="00387B3A">
              <w:rPr>
                <w:rFonts w:cs="Calibri"/>
              </w:rPr>
              <w:t xml:space="preserve">UG </w:t>
            </w:r>
            <w:r w:rsidR="006538F4" w:rsidRPr="00387B3A">
              <w:rPr>
                <w:rFonts w:cs="Calibri"/>
              </w:rPr>
              <w:t>200.445 Costs</w:t>
            </w:r>
            <w:r w:rsidRPr="00387B3A">
              <w:t xml:space="preserve"> of goods or services for personal use of the non-Federal entity's employees are unallowable regardless of whether the cost is reported as taxable income to the employees.</w:t>
            </w:r>
          </w:p>
          <w:p w:rsidR="004F5FE3" w:rsidRPr="00387B3A" w:rsidRDefault="004F5FE3" w:rsidP="001B1B1B">
            <w:pPr>
              <w:pStyle w:val="NormalWeb"/>
              <w:rPr>
                <w:rFonts w:cs="Calibri"/>
              </w:rPr>
            </w:pPr>
            <w:r w:rsidRPr="00387B3A">
              <w:t>Costs of housing (e.g., depreciation, maintenance, utilities, furnishings, rent), housing allowances and personal living expenses are only allowable as direct costs regardless of whether reported as taxable income to the employees. In addition, to be allowable direct costs must be approved in advance the awarding agency.</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Interest</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pStyle w:val="NormalWeb"/>
              <w:rPr>
                <w:rFonts w:cs="Calibri"/>
              </w:rPr>
            </w:pPr>
            <w:r w:rsidRPr="00387B3A">
              <w:rPr>
                <w:rFonts w:cs="Calibri"/>
              </w:rPr>
              <w:t xml:space="preserve">UG </w:t>
            </w:r>
            <w:r w:rsidR="006538F4" w:rsidRPr="00387B3A">
              <w:rPr>
                <w:rFonts w:cs="Calibri"/>
              </w:rPr>
              <w:t>200.449 (</w:t>
            </w:r>
            <w:r w:rsidRPr="00387B3A">
              <w:t xml:space="preserve">a) </w:t>
            </w:r>
            <w:r w:rsidRPr="00387B3A">
              <w:rPr>
                <w:i/>
                <w:iCs/>
              </w:rPr>
              <w:t>General.</w:t>
            </w:r>
            <w:r w:rsidRPr="00387B3A">
              <w:t xml:space="preserve"> Costs incurred for interest on borrowed capital, temporary use of endowment funds, or the use of the non-Federal entity's own funds, however represented, are unallowable………</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Investment management costs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BC508F" w:rsidP="001B1B1B">
            <w:pPr>
              <w:pStyle w:val="NormalWeb"/>
            </w:pPr>
            <w:r w:rsidRPr="00387B3A">
              <w:t>See Fund</w:t>
            </w:r>
            <w:r w:rsidR="004F5FE3" w:rsidRPr="00387B3A">
              <w:t>raising in UNALLOWABLE costs</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Lobbying</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pStyle w:val="NormalWeb"/>
              <w:rPr>
                <w:rFonts w:cs="Calibri"/>
              </w:rPr>
            </w:pPr>
            <w:r w:rsidRPr="00387B3A">
              <w:rPr>
                <w:rFonts w:cs="Calibri"/>
              </w:rPr>
              <w:t xml:space="preserve">UG </w:t>
            </w:r>
            <w:r w:rsidR="006538F4" w:rsidRPr="00387B3A">
              <w:rPr>
                <w:rFonts w:cs="Calibri"/>
              </w:rPr>
              <w:t>200.450 (</w:t>
            </w:r>
            <w:r w:rsidRPr="00387B3A">
              <w:t>a) The cost of certain influencing activities associated with obtaining grants, contracts, cooperative agreements, or loans is an unallowable cost</w:t>
            </w:r>
            <w:proofErr w:type="gramStart"/>
            <w:r w:rsidRPr="00387B3A">
              <w:t>…..</w:t>
            </w:r>
            <w:proofErr w:type="gramEnd"/>
            <w:r w:rsidR="004D0927" w:rsidRPr="00387B3A">
              <w:br/>
              <w:t>WIOA 683.250(4) Subawards/contracts with parties that are debarred, suspended or otherwise excluded from or ineligible for participation in federal programs/activities…….</w:t>
            </w:r>
          </w:p>
        </w:tc>
      </w:tr>
      <w:tr w:rsidR="00BF04E1"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F04E1" w:rsidRPr="00387B3A" w:rsidRDefault="00BF04E1" w:rsidP="001B1B1B">
            <w:r w:rsidRPr="00387B3A">
              <w:lastRenderedPageBreak/>
              <w:t xml:space="preserve">Marketing and </w:t>
            </w:r>
            <w:r w:rsidR="00D819CA">
              <w:t>s</w:t>
            </w:r>
            <w:r w:rsidRPr="00387B3A">
              <w:t>elling</w:t>
            </w:r>
          </w:p>
          <w:p w:rsidR="00BF04E1" w:rsidRPr="000F45DF" w:rsidRDefault="00BF04E1" w:rsidP="001B1B1B">
            <w:pPr>
              <w:rPr>
                <w:sz w:val="20"/>
                <w:szCs w:val="20"/>
              </w:rPr>
            </w:pPr>
            <w:r w:rsidRPr="00387B3A">
              <w:t xml:space="preserve">(see </w:t>
            </w:r>
            <w:r w:rsidR="00D21833">
              <w:t>o</w:t>
            </w:r>
            <w:r w:rsidRPr="00387B3A">
              <w:t xml:space="preserve">utreach, </w:t>
            </w:r>
            <w:r w:rsidR="00D819CA">
              <w:t>a</w:t>
            </w:r>
            <w:r w:rsidRPr="00387B3A">
              <w:t xml:space="preserve">dvertising, or </w:t>
            </w:r>
            <w:r w:rsidR="004414F2">
              <w:t>p</w:t>
            </w:r>
            <w:r w:rsidRPr="00387B3A">
              <w:t xml:space="preserve">ublic </w:t>
            </w:r>
            <w:r w:rsidR="004414F2">
              <w:t>r</w:t>
            </w:r>
            <w:r w:rsidRPr="00387B3A">
              <w:t>elations)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BF04E1" w:rsidRPr="000F45DF" w:rsidRDefault="00BF04E1" w:rsidP="001B1B1B">
            <w:pPr>
              <w:pStyle w:val="NormalWeb"/>
            </w:pPr>
            <w:r w:rsidRPr="000F45DF">
              <w:rPr>
                <w:rFonts w:cs="Calibri"/>
              </w:rPr>
              <w:t xml:space="preserve">UG </w:t>
            </w:r>
            <w:r w:rsidR="006538F4" w:rsidRPr="000F45DF">
              <w:rPr>
                <w:rFonts w:cs="Calibri"/>
              </w:rPr>
              <w:t>200.467 Costs</w:t>
            </w:r>
            <w:r w:rsidRPr="000F45DF">
              <w:t xml:space="preserve"> of selling and marketing any products or services of the non-Federal entity (unless allowed under §200.421 Advertising and public relations.) are unallowable, except as direct costs, with prior approval by the Federal awarding agency when necessary for the performance of the Federal award</w:t>
            </w:r>
          </w:p>
          <w:p w:rsidR="00BF04E1" w:rsidRPr="000F45DF" w:rsidRDefault="00BF04E1" w:rsidP="001B1B1B">
            <w:pPr>
              <w:pStyle w:val="NormalWeb"/>
            </w:pPr>
          </w:p>
        </w:tc>
      </w:tr>
      <w:tr w:rsidR="004F5FE3" w:rsidRPr="00030E3B" w:rsidTr="008A4E27">
        <w:trPr>
          <w:cantSplit/>
          <w:trHeight w:val="1889"/>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Memberships, subscriptions, organization, and professional activity costs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pStyle w:val="NormalWeb"/>
            </w:pPr>
            <w:r w:rsidRPr="00387B3A">
              <w:rPr>
                <w:rFonts w:cs="Calibri"/>
              </w:rPr>
              <w:t xml:space="preserve">UG 200.454, </w:t>
            </w:r>
            <w:r w:rsidR="006538F4" w:rsidRPr="00387B3A">
              <w:rPr>
                <w:rFonts w:cs="Calibri"/>
              </w:rPr>
              <w:t>200.455 …</w:t>
            </w:r>
            <w:r w:rsidRPr="00387B3A">
              <w:t>(d) Costs of membership in any country club or social or dining club or organization are unallowable.</w:t>
            </w:r>
            <w:r w:rsidRPr="00387B3A">
              <w:br/>
              <w:t>(e) Costs of membership in organizations whose primary purpose is lobbying are unallowable. See also §200.450 Lobbying.</w:t>
            </w:r>
            <w:r w:rsidRPr="00387B3A">
              <w:br/>
            </w:r>
            <w:r w:rsidR="006538F4">
              <w:t>.</w:t>
            </w:r>
            <w:r w:rsidRPr="00387B3A">
              <w:t>..incorporation fees, brokers' fees, fees to promoters, organizers or management consultants, attorneys, accountants, or investment counselor, are unallowable except with prior approval of awarding agency.</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Relocation costs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pStyle w:val="NormalWeb"/>
              <w:rPr>
                <w:rFonts w:cs="Calibri"/>
              </w:rPr>
            </w:pPr>
            <w:r w:rsidRPr="00387B3A">
              <w:rPr>
                <w:rFonts w:cs="Calibri"/>
              </w:rPr>
              <w:t>UG 200.464  …</w:t>
            </w:r>
            <w:r w:rsidRPr="00387B3A">
              <w:t xml:space="preserve"> (d) The following costs related to relocation are unallowable:</w:t>
            </w:r>
            <w:r w:rsidRPr="00387B3A">
              <w:br/>
              <w:t>(1) Fees and other costs associated with acquiring a new home.</w:t>
            </w:r>
            <w:r w:rsidRPr="00387B3A">
              <w:br/>
              <w:t>(2) A loss on the sale of a former home.</w:t>
            </w:r>
            <w:r w:rsidRPr="00387B3A">
              <w:br/>
              <w:t>(3) Continuing mortgage principal and interest payments on a home being sold.</w:t>
            </w:r>
            <w:r w:rsidRPr="00387B3A">
              <w:br/>
              <w:t>(4) Income taxes paid by an employee related to reimbursed relocation costs.</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Religious/</w:t>
            </w:r>
            <w:r w:rsidR="004414F2">
              <w:t>s</w:t>
            </w:r>
            <w:r w:rsidRPr="00387B3A">
              <w:t>ectarian activities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pStyle w:val="NormalWeb"/>
            </w:pPr>
            <w:r w:rsidRPr="00387B3A">
              <w:t>WIOA Section 188(a)(3) and 683.255…prohibits the use of funds to employ participants to carry out the constructions, operation, or maintenance of any part of any facility used for sectarian instruction or as a place of religious worship with the exception of maintenance of facilities that are not primarily used for instructions or worship and are operated by organizations providing services to WIOA participants…</w:t>
            </w:r>
          </w:p>
        </w:tc>
      </w:tr>
      <w:tr w:rsidR="004F5FE3" w:rsidRPr="00030E3B" w:rsidTr="008A4E27">
        <w:trPr>
          <w:cantSplit/>
        </w:trPr>
        <w:tc>
          <w:tcPr>
            <w:tcW w:w="2424"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r w:rsidRPr="00387B3A">
              <w:t>Student activity costs</w:t>
            </w:r>
          </w:p>
        </w:tc>
        <w:tc>
          <w:tcPr>
            <w:tcW w:w="8376" w:type="dxa"/>
            <w:tcBorders>
              <w:top w:val="single" w:sz="7" w:space="0" w:color="000000"/>
              <w:left w:val="single" w:sz="7" w:space="0" w:color="000000"/>
              <w:bottom w:val="single" w:sz="7" w:space="0" w:color="000000"/>
              <w:right w:val="single" w:sz="7" w:space="0" w:color="000000"/>
            </w:tcBorders>
            <w:tcMar>
              <w:top w:w="29" w:type="dxa"/>
              <w:left w:w="43" w:type="dxa"/>
              <w:bottom w:w="29" w:type="dxa"/>
              <w:right w:w="29" w:type="dxa"/>
            </w:tcMar>
          </w:tcPr>
          <w:p w:rsidR="004F5FE3" w:rsidRPr="00387B3A" w:rsidRDefault="004F5FE3" w:rsidP="001B1B1B">
            <w:pPr>
              <w:pStyle w:val="NormalWeb"/>
              <w:rPr>
                <w:rFonts w:cs="Calibri"/>
              </w:rPr>
            </w:pPr>
            <w:r w:rsidRPr="00387B3A">
              <w:rPr>
                <w:rFonts w:cs="Calibri"/>
              </w:rPr>
              <w:t xml:space="preserve">UG </w:t>
            </w:r>
            <w:r w:rsidR="006538F4" w:rsidRPr="00387B3A">
              <w:rPr>
                <w:rFonts w:cs="Calibri"/>
              </w:rPr>
              <w:t>200.469 Costs</w:t>
            </w:r>
            <w:r w:rsidRPr="00387B3A">
              <w:t xml:space="preserve"> incurred for intramural activities, student publications, student clubs, and other student activities, are unallowable, unless specifically provided for in </w:t>
            </w:r>
            <w:proofErr w:type="gramStart"/>
            <w:r w:rsidRPr="00387B3A">
              <w:t>the  award</w:t>
            </w:r>
            <w:proofErr w:type="gramEnd"/>
            <w:r w:rsidRPr="00387B3A">
              <w:t>.</w:t>
            </w:r>
          </w:p>
        </w:tc>
      </w:tr>
    </w:tbl>
    <w:p w:rsidR="00C37F07" w:rsidRPr="00030E3B" w:rsidRDefault="00C37F07" w:rsidP="001B1B1B">
      <w:bookmarkStart w:id="1" w:name="_GoBack"/>
      <w:bookmarkEnd w:id="1"/>
    </w:p>
    <w:sectPr w:rsidR="00C37F07" w:rsidRPr="00030E3B" w:rsidSect="006538F4">
      <w:footerReference w:type="even" r:id="rId10"/>
      <w:footerReference w:type="default" r:id="rId11"/>
      <w:pgSz w:w="12240" w:h="15840"/>
      <w:pgMar w:top="1008" w:right="1008" w:bottom="1008" w:left="1008"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1B" w:rsidRDefault="001B1B1B" w:rsidP="001B1B1B">
      <w:r>
        <w:separator/>
      </w:r>
    </w:p>
  </w:endnote>
  <w:endnote w:type="continuationSeparator" w:id="0">
    <w:p w:rsidR="001B1B1B" w:rsidRDefault="001B1B1B" w:rsidP="001B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1B" w:rsidRDefault="001B1B1B" w:rsidP="001B1B1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B1B1B" w:rsidRDefault="001B1B1B" w:rsidP="001B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1B" w:rsidRPr="006538F4" w:rsidRDefault="001B1B1B" w:rsidP="006538F4">
    <w:pPr>
      <w:spacing w:after="0"/>
      <w:rPr>
        <w:sz w:val="20"/>
      </w:rPr>
    </w:pPr>
    <w:r w:rsidRPr="006538F4">
      <w:rPr>
        <w:sz w:val="20"/>
      </w:rPr>
      <w:t>Updated October 22, 2019, at 10:00 a.m.</w:t>
    </w:r>
  </w:p>
  <w:p w:rsidR="006538F4" w:rsidRPr="006538F4" w:rsidRDefault="001B1B1B" w:rsidP="006538F4">
    <w:pPr>
      <w:spacing w:after="0"/>
      <w:rPr>
        <w:sz w:val="20"/>
      </w:rPr>
    </w:pPr>
    <w:r w:rsidRPr="006538F4">
      <w:rPr>
        <w:sz w:val="20"/>
      </w:rPr>
      <w:t>United States Department of Labor (DOL) Matrix, Edited by the Minnesota Department of Employment and Economic Development (DEED)</w:t>
    </w:r>
  </w:p>
  <w:p w:rsidR="001B1B1B" w:rsidRPr="006538F4" w:rsidRDefault="001B1B1B" w:rsidP="006538F4">
    <w:pPr>
      <w:spacing w:after="0"/>
      <w:rPr>
        <w:sz w:val="20"/>
      </w:rPr>
    </w:pPr>
    <w:r w:rsidRPr="006538F4">
      <w:rPr>
        <w:sz w:val="20"/>
      </w:rPr>
      <w:t xml:space="preserve">Page </w:t>
    </w:r>
    <w:r w:rsidRPr="006538F4">
      <w:rPr>
        <w:b/>
        <w:bCs/>
        <w:sz w:val="20"/>
      </w:rPr>
      <w:fldChar w:fldCharType="begin"/>
    </w:r>
    <w:r w:rsidRPr="006538F4">
      <w:rPr>
        <w:b/>
        <w:bCs/>
        <w:sz w:val="20"/>
      </w:rPr>
      <w:instrText xml:space="preserve"> PAGE  \* Arabic  \* MERGEFORMAT </w:instrText>
    </w:r>
    <w:r w:rsidRPr="006538F4">
      <w:rPr>
        <w:b/>
        <w:bCs/>
        <w:sz w:val="20"/>
      </w:rPr>
      <w:fldChar w:fldCharType="separate"/>
    </w:r>
    <w:r w:rsidRPr="006538F4">
      <w:rPr>
        <w:b/>
        <w:bCs/>
        <w:noProof/>
        <w:sz w:val="20"/>
      </w:rPr>
      <w:t>1</w:t>
    </w:r>
    <w:r w:rsidRPr="006538F4">
      <w:rPr>
        <w:b/>
        <w:bCs/>
        <w:sz w:val="20"/>
      </w:rPr>
      <w:fldChar w:fldCharType="end"/>
    </w:r>
    <w:r w:rsidRPr="006538F4">
      <w:rPr>
        <w:sz w:val="20"/>
      </w:rPr>
      <w:t xml:space="preserve"> of </w:t>
    </w:r>
    <w:r w:rsidRPr="006538F4">
      <w:rPr>
        <w:b/>
        <w:bCs/>
        <w:sz w:val="20"/>
      </w:rPr>
      <w:fldChar w:fldCharType="begin"/>
    </w:r>
    <w:r w:rsidRPr="006538F4">
      <w:rPr>
        <w:b/>
        <w:bCs/>
        <w:sz w:val="20"/>
      </w:rPr>
      <w:instrText xml:space="preserve"> NUMPAGES  \* Arabic  \* MERGEFORMAT </w:instrText>
    </w:r>
    <w:r w:rsidRPr="006538F4">
      <w:rPr>
        <w:b/>
        <w:bCs/>
        <w:sz w:val="20"/>
      </w:rPr>
      <w:fldChar w:fldCharType="separate"/>
    </w:r>
    <w:r w:rsidRPr="006538F4">
      <w:rPr>
        <w:b/>
        <w:bCs/>
        <w:noProof/>
        <w:sz w:val="20"/>
      </w:rPr>
      <w:t>21</w:t>
    </w:r>
    <w:r w:rsidRPr="006538F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1B" w:rsidRDefault="001B1B1B" w:rsidP="001B1B1B">
      <w:r>
        <w:separator/>
      </w:r>
    </w:p>
  </w:footnote>
  <w:footnote w:type="continuationSeparator" w:id="0">
    <w:p w:rsidR="001B1B1B" w:rsidRDefault="001B1B1B" w:rsidP="001B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536A"/>
    <w:multiLevelType w:val="hybridMultilevel"/>
    <w:tmpl w:val="82E28362"/>
    <w:lvl w:ilvl="0" w:tplc="C958B128">
      <w:start w:val="1"/>
      <w:numFmt w:val="lowerLetter"/>
      <w:lvlText w:val="(%1)"/>
      <w:lvlJc w:val="left"/>
      <w:pPr>
        <w:ind w:left="720" w:hanging="360"/>
      </w:pPr>
      <w:rPr>
        <w:rFonts w:ascii="Calibri" w:eastAsia="Times New Roman" w:hAnsi="Calibri" w:cs="Calibr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97398"/>
    <w:multiLevelType w:val="hybridMultilevel"/>
    <w:tmpl w:val="C284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4708A"/>
    <w:multiLevelType w:val="hybridMultilevel"/>
    <w:tmpl w:val="3A08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5A"/>
    <w:rsid w:val="00003A2B"/>
    <w:rsid w:val="00013BF1"/>
    <w:rsid w:val="00016A82"/>
    <w:rsid w:val="00017CE1"/>
    <w:rsid w:val="00030E3B"/>
    <w:rsid w:val="00031168"/>
    <w:rsid w:val="0003154E"/>
    <w:rsid w:val="0003369B"/>
    <w:rsid w:val="00035F80"/>
    <w:rsid w:val="00040656"/>
    <w:rsid w:val="00044233"/>
    <w:rsid w:val="00050BF2"/>
    <w:rsid w:val="00053779"/>
    <w:rsid w:val="000623E6"/>
    <w:rsid w:val="000675CA"/>
    <w:rsid w:val="00074A2F"/>
    <w:rsid w:val="000770DA"/>
    <w:rsid w:val="0008273F"/>
    <w:rsid w:val="00083D11"/>
    <w:rsid w:val="00085A11"/>
    <w:rsid w:val="00086498"/>
    <w:rsid w:val="00091B91"/>
    <w:rsid w:val="0009509C"/>
    <w:rsid w:val="000974A5"/>
    <w:rsid w:val="000A16A6"/>
    <w:rsid w:val="000A4E32"/>
    <w:rsid w:val="000A6A24"/>
    <w:rsid w:val="000A7249"/>
    <w:rsid w:val="000B44CF"/>
    <w:rsid w:val="000B5161"/>
    <w:rsid w:val="000B6A2F"/>
    <w:rsid w:val="000B7024"/>
    <w:rsid w:val="000C06B0"/>
    <w:rsid w:val="000C0E6D"/>
    <w:rsid w:val="000C1090"/>
    <w:rsid w:val="000C10D3"/>
    <w:rsid w:val="000D0B6D"/>
    <w:rsid w:val="000D6784"/>
    <w:rsid w:val="000E4D01"/>
    <w:rsid w:val="000F2D88"/>
    <w:rsid w:val="000F45DF"/>
    <w:rsid w:val="00106FE9"/>
    <w:rsid w:val="00113F75"/>
    <w:rsid w:val="00116BE2"/>
    <w:rsid w:val="00120FED"/>
    <w:rsid w:val="00124F2D"/>
    <w:rsid w:val="001272C1"/>
    <w:rsid w:val="00130CDC"/>
    <w:rsid w:val="00132EF9"/>
    <w:rsid w:val="00133531"/>
    <w:rsid w:val="001370CC"/>
    <w:rsid w:val="001372B5"/>
    <w:rsid w:val="00137A5A"/>
    <w:rsid w:val="001524BC"/>
    <w:rsid w:val="00160063"/>
    <w:rsid w:val="001624E7"/>
    <w:rsid w:val="00166C83"/>
    <w:rsid w:val="00170241"/>
    <w:rsid w:val="00172050"/>
    <w:rsid w:val="00175707"/>
    <w:rsid w:val="001766A5"/>
    <w:rsid w:val="0017723C"/>
    <w:rsid w:val="00184C63"/>
    <w:rsid w:val="001858F3"/>
    <w:rsid w:val="00190F6C"/>
    <w:rsid w:val="00193EFA"/>
    <w:rsid w:val="0019717A"/>
    <w:rsid w:val="00197AD7"/>
    <w:rsid w:val="001A21AA"/>
    <w:rsid w:val="001A41DD"/>
    <w:rsid w:val="001A5B05"/>
    <w:rsid w:val="001A5B0F"/>
    <w:rsid w:val="001A62F5"/>
    <w:rsid w:val="001B0806"/>
    <w:rsid w:val="001B0ECD"/>
    <w:rsid w:val="001B1B1B"/>
    <w:rsid w:val="001B5CB8"/>
    <w:rsid w:val="001C0599"/>
    <w:rsid w:val="001C2802"/>
    <w:rsid w:val="001D37D1"/>
    <w:rsid w:val="001D71D6"/>
    <w:rsid w:val="001E04FE"/>
    <w:rsid w:val="001E08C7"/>
    <w:rsid w:val="001E0D59"/>
    <w:rsid w:val="001E5073"/>
    <w:rsid w:val="001E7832"/>
    <w:rsid w:val="001F320C"/>
    <w:rsid w:val="001F35ED"/>
    <w:rsid w:val="002045FC"/>
    <w:rsid w:val="00204CCF"/>
    <w:rsid w:val="00205B87"/>
    <w:rsid w:val="002157BE"/>
    <w:rsid w:val="00216230"/>
    <w:rsid w:val="00221758"/>
    <w:rsid w:val="00225987"/>
    <w:rsid w:val="002278B2"/>
    <w:rsid w:val="00236CE5"/>
    <w:rsid w:val="0024122D"/>
    <w:rsid w:val="00244ADB"/>
    <w:rsid w:val="00244F46"/>
    <w:rsid w:val="0024752C"/>
    <w:rsid w:val="002475C6"/>
    <w:rsid w:val="0025010D"/>
    <w:rsid w:val="002510E8"/>
    <w:rsid w:val="00255D6D"/>
    <w:rsid w:val="0026235E"/>
    <w:rsid w:val="00267A07"/>
    <w:rsid w:val="0027505A"/>
    <w:rsid w:val="00277FAA"/>
    <w:rsid w:val="0028039C"/>
    <w:rsid w:val="0028288F"/>
    <w:rsid w:val="00285BD4"/>
    <w:rsid w:val="00290444"/>
    <w:rsid w:val="00291B0A"/>
    <w:rsid w:val="00295256"/>
    <w:rsid w:val="002A3496"/>
    <w:rsid w:val="002A3854"/>
    <w:rsid w:val="002B0DEB"/>
    <w:rsid w:val="002B306E"/>
    <w:rsid w:val="002B38BD"/>
    <w:rsid w:val="002B438F"/>
    <w:rsid w:val="002B44BF"/>
    <w:rsid w:val="002B6D1E"/>
    <w:rsid w:val="002B7A4E"/>
    <w:rsid w:val="002C0D22"/>
    <w:rsid w:val="002C5C7E"/>
    <w:rsid w:val="002D262A"/>
    <w:rsid w:val="002D6A7D"/>
    <w:rsid w:val="002E4650"/>
    <w:rsid w:val="002F13FB"/>
    <w:rsid w:val="002F71FC"/>
    <w:rsid w:val="002F7406"/>
    <w:rsid w:val="002F76B7"/>
    <w:rsid w:val="00301B20"/>
    <w:rsid w:val="00302C09"/>
    <w:rsid w:val="00303023"/>
    <w:rsid w:val="00304690"/>
    <w:rsid w:val="0031192E"/>
    <w:rsid w:val="00312A82"/>
    <w:rsid w:val="00313938"/>
    <w:rsid w:val="00320C51"/>
    <w:rsid w:val="00320F0D"/>
    <w:rsid w:val="0032452E"/>
    <w:rsid w:val="00325F5F"/>
    <w:rsid w:val="0032793A"/>
    <w:rsid w:val="00327BC0"/>
    <w:rsid w:val="00332F5F"/>
    <w:rsid w:val="003342EE"/>
    <w:rsid w:val="003377C7"/>
    <w:rsid w:val="0034079D"/>
    <w:rsid w:val="003417B8"/>
    <w:rsid w:val="00341DAD"/>
    <w:rsid w:val="003424DE"/>
    <w:rsid w:val="00344CBD"/>
    <w:rsid w:val="00344FBF"/>
    <w:rsid w:val="003453F7"/>
    <w:rsid w:val="00360DAE"/>
    <w:rsid w:val="00366E5E"/>
    <w:rsid w:val="0037018C"/>
    <w:rsid w:val="00370695"/>
    <w:rsid w:val="00372730"/>
    <w:rsid w:val="00374873"/>
    <w:rsid w:val="00381146"/>
    <w:rsid w:val="00384336"/>
    <w:rsid w:val="003877C5"/>
    <w:rsid w:val="00387B3A"/>
    <w:rsid w:val="0039762E"/>
    <w:rsid w:val="003A0DE6"/>
    <w:rsid w:val="003A3375"/>
    <w:rsid w:val="003A7883"/>
    <w:rsid w:val="003B65B3"/>
    <w:rsid w:val="003B79D7"/>
    <w:rsid w:val="003C0752"/>
    <w:rsid w:val="003C6E31"/>
    <w:rsid w:val="003D42C6"/>
    <w:rsid w:val="003D5D32"/>
    <w:rsid w:val="003E4C3C"/>
    <w:rsid w:val="003F452B"/>
    <w:rsid w:val="00411FF7"/>
    <w:rsid w:val="004143E1"/>
    <w:rsid w:val="00433520"/>
    <w:rsid w:val="004414F2"/>
    <w:rsid w:val="00444CA9"/>
    <w:rsid w:val="004507DD"/>
    <w:rsid w:val="0045281A"/>
    <w:rsid w:val="00456307"/>
    <w:rsid w:val="00456FC8"/>
    <w:rsid w:val="00457BC5"/>
    <w:rsid w:val="004613AA"/>
    <w:rsid w:val="00466F1E"/>
    <w:rsid w:val="0047033B"/>
    <w:rsid w:val="00474A20"/>
    <w:rsid w:val="00480835"/>
    <w:rsid w:val="004938DD"/>
    <w:rsid w:val="00496B8F"/>
    <w:rsid w:val="004A0DEC"/>
    <w:rsid w:val="004B56C7"/>
    <w:rsid w:val="004B7608"/>
    <w:rsid w:val="004C0D96"/>
    <w:rsid w:val="004C1C7A"/>
    <w:rsid w:val="004C20C7"/>
    <w:rsid w:val="004C3DDC"/>
    <w:rsid w:val="004D0927"/>
    <w:rsid w:val="004D1BD7"/>
    <w:rsid w:val="004D2FDF"/>
    <w:rsid w:val="004F5FE3"/>
    <w:rsid w:val="00502408"/>
    <w:rsid w:val="00503497"/>
    <w:rsid w:val="00513E3B"/>
    <w:rsid w:val="005208CF"/>
    <w:rsid w:val="00533166"/>
    <w:rsid w:val="00533E28"/>
    <w:rsid w:val="00534B52"/>
    <w:rsid w:val="00535496"/>
    <w:rsid w:val="005433C7"/>
    <w:rsid w:val="00553671"/>
    <w:rsid w:val="00555147"/>
    <w:rsid w:val="00556975"/>
    <w:rsid w:val="005579E3"/>
    <w:rsid w:val="00557A47"/>
    <w:rsid w:val="00563DAE"/>
    <w:rsid w:val="00565166"/>
    <w:rsid w:val="005674C8"/>
    <w:rsid w:val="00574F8E"/>
    <w:rsid w:val="00580021"/>
    <w:rsid w:val="0058059D"/>
    <w:rsid w:val="0058060E"/>
    <w:rsid w:val="00581A15"/>
    <w:rsid w:val="005833E9"/>
    <w:rsid w:val="00584FB0"/>
    <w:rsid w:val="0058663B"/>
    <w:rsid w:val="0058717A"/>
    <w:rsid w:val="00593DCB"/>
    <w:rsid w:val="00595EE7"/>
    <w:rsid w:val="00596C38"/>
    <w:rsid w:val="005A0B56"/>
    <w:rsid w:val="005A0E7A"/>
    <w:rsid w:val="005A386B"/>
    <w:rsid w:val="005B7769"/>
    <w:rsid w:val="005C09B6"/>
    <w:rsid w:val="005C6F6A"/>
    <w:rsid w:val="005D0DF8"/>
    <w:rsid w:val="005E4410"/>
    <w:rsid w:val="005F1173"/>
    <w:rsid w:val="006036E8"/>
    <w:rsid w:val="00610D06"/>
    <w:rsid w:val="006110CB"/>
    <w:rsid w:val="00611606"/>
    <w:rsid w:val="006157B4"/>
    <w:rsid w:val="00617A06"/>
    <w:rsid w:val="006237A4"/>
    <w:rsid w:val="006251D2"/>
    <w:rsid w:val="00631F8B"/>
    <w:rsid w:val="00640BDC"/>
    <w:rsid w:val="006413FC"/>
    <w:rsid w:val="00643D64"/>
    <w:rsid w:val="0065204D"/>
    <w:rsid w:val="006525C9"/>
    <w:rsid w:val="006532AF"/>
    <w:rsid w:val="006534B3"/>
    <w:rsid w:val="006538F4"/>
    <w:rsid w:val="00653C80"/>
    <w:rsid w:val="0065623B"/>
    <w:rsid w:val="00657575"/>
    <w:rsid w:val="00663CD0"/>
    <w:rsid w:val="00665D2B"/>
    <w:rsid w:val="00667005"/>
    <w:rsid w:val="0068096B"/>
    <w:rsid w:val="0068296D"/>
    <w:rsid w:val="00683A3B"/>
    <w:rsid w:val="006918FB"/>
    <w:rsid w:val="006945AA"/>
    <w:rsid w:val="00695E8C"/>
    <w:rsid w:val="00697D0F"/>
    <w:rsid w:val="006A4D99"/>
    <w:rsid w:val="006B4499"/>
    <w:rsid w:val="006C4ACB"/>
    <w:rsid w:val="006D1613"/>
    <w:rsid w:val="006E0DE1"/>
    <w:rsid w:val="006E1888"/>
    <w:rsid w:val="006E195B"/>
    <w:rsid w:val="006E53C3"/>
    <w:rsid w:val="006E7A64"/>
    <w:rsid w:val="006F008A"/>
    <w:rsid w:val="006F7792"/>
    <w:rsid w:val="00703E87"/>
    <w:rsid w:val="00703F95"/>
    <w:rsid w:val="00706A29"/>
    <w:rsid w:val="00710DA1"/>
    <w:rsid w:val="0071357C"/>
    <w:rsid w:val="00715C21"/>
    <w:rsid w:val="00731915"/>
    <w:rsid w:val="00733484"/>
    <w:rsid w:val="00735B0D"/>
    <w:rsid w:val="00735DAC"/>
    <w:rsid w:val="00737805"/>
    <w:rsid w:val="00740C16"/>
    <w:rsid w:val="00745727"/>
    <w:rsid w:val="00751AFE"/>
    <w:rsid w:val="00755CBC"/>
    <w:rsid w:val="00756D53"/>
    <w:rsid w:val="007647B2"/>
    <w:rsid w:val="00765CFC"/>
    <w:rsid w:val="007707B6"/>
    <w:rsid w:val="007735DB"/>
    <w:rsid w:val="00775E1D"/>
    <w:rsid w:val="00780F05"/>
    <w:rsid w:val="00784C40"/>
    <w:rsid w:val="0078525D"/>
    <w:rsid w:val="00786CBF"/>
    <w:rsid w:val="00787F73"/>
    <w:rsid w:val="00796B44"/>
    <w:rsid w:val="007A6443"/>
    <w:rsid w:val="007A6F02"/>
    <w:rsid w:val="007B0541"/>
    <w:rsid w:val="007B13B4"/>
    <w:rsid w:val="007B2B93"/>
    <w:rsid w:val="007B3690"/>
    <w:rsid w:val="007B3F69"/>
    <w:rsid w:val="007B5EDC"/>
    <w:rsid w:val="007B6AC5"/>
    <w:rsid w:val="007B757C"/>
    <w:rsid w:val="007C2D5C"/>
    <w:rsid w:val="007D3CE8"/>
    <w:rsid w:val="007D4B99"/>
    <w:rsid w:val="007D6900"/>
    <w:rsid w:val="007E47D2"/>
    <w:rsid w:val="007E4B95"/>
    <w:rsid w:val="007E5152"/>
    <w:rsid w:val="00804C66"/>
    <w:rsid w:val="008101FD"/>
    <w:rsid w:val="008113D1"/>
    <w:rsid w:val="00813590"/>
    <w:rsid w:val="00817601"/>
    <w:rsid w:val="0082131B"/>
    <w:rsid w:val="0082737C"/>
    <w:rsid w:val="00827B23"/>
    <w:rsid w:val="00835536"/>
    <w:rsid w:val="00836AC7"/>
    <w:rsid w:val="00840E73"/>
    <w:rsid w:val="0084347C"/>
    <w:rsid w:val="008540F8"/>
    <w:rsid w:val="00862D04"/>
    <w:rsid w:val="008655A7"/>
    <w:rsid w:val="008658D1"/>
    <w:rsid w:val="00875F7C"/>
    <w:rsid w:val="008765CD"/>
    <w:rsid w:val="00884F95"/>
    <w:rsid w:val="008852DC"/>
    <w:rsid w:val="00887FA2"/>
    <w:rsid w:val="008932B0"/>
    <w:rsid w:val="00897754"/>
    <w:rsid w:val="008A0373"/>
    <w:rsid w:val="008A1660"/>
    <w:rsid w:val="008A3FC1"/>
    <w:rsid w:val="008A4E27"/>
    <w:rsid w:val="008A64B3"/>
    <w:rsid w:val="008B770D"/>
    <w:rsid w:val="008C1B60"/>
    <w:rsid w:val="008C7D63"/>
    <w:rsid w:val="008D7C6A"/>
    <w:rsid w:val="008E29D7"/>
    <w:rsid w:val="008F246A"/>
    <w:rsid w:val="008F65C5"/>
    <w:rsid w:val="0090469D"/>
    <w:rsid w:val="00906FA6"/>
    <w:rsid w:val="00910737"/>
    <w:rsid w:val="0091666D"/>
    <w:rsid w:val="00925249"/>
    <w:rsid w:val="00925378"/>
    <w:rsid w:val="0092579A"/>
    <w:rsid w:val="00932D00"/>
    <w:rsid w:val="0093465E"/>
    <w:rsid w:val="00934FAE"/>
    <w:rsid w:val="00937370"/>
    <w:rsid w:val="00937694"/>
    <w:rsid w:val="00942886"/>
    <w:rsid w:val="009446B1"/>
    <w:rsid w:val="00953DF3"/>
    <w:rsid w:val="00957AE6"/>
    <w:rsid w:val="0096424E"/>
    <w:rsid w:val="009649F5"/>
    <w:rsid w:val="00967106"/>
    <w:rsid w:val="00967EC3"/>
    <w:rsid w:val="00970A84"/>
    <w:rsid w:val="00977B83"/>
    <w:rsid w:val="00981339"/>
    <w:rsid w:val="009917EE"/>
    <w:rsid w:val="00992D0D"/>
    <w:rsid w:val="009955D7"/>
    <w:rsid w:val="0099790D"/>
    <w:rsid w:val="009A49FD"/>
    <w:rsid w:val="009A6A6C"/>
    <w:rsid w:val="009A6F15"/>
    <w:rsid w:val="009B42D5"/>
    <w:rsid w:val="009B7119"/>
    <w:rsid w:val="009C156F"/>
    <w:rsid w:val="009C30EF"/>
    <w:rsid w:val="009C59EB"/>
    <w:rsid w:val="009D0B48"/>
    <w:rsid w:val="009D2728"/>
    <w:rsid w:val="009D58DF"/>
    <w:rsid w:val="009D69D0"/>
    <w:rsid w:val="009E1F7B"/>
    <w:rsid w:val="009F42DB"/>
    <w:rsid w:val="009F596E"/>
    <w:rsid w:val="00A05A90"/>
    <w:rsid w:val="00A0607F"/>
    <w:rsid w:val="00A062CB"/>
    <w:rsid w:val="00A208EC"/>
    <w:rsid w:val="00A2629F"/>
    <w:rsid w:val="00A33DA2"/>
    <w:rsid w:val="00A3649B"/>
    <w:rsid w:val="00A4272B"/>
    <w:rsid w:val="00A44479"/>
    <w:rsid w:val="00A448D6"/>
    <w:rsid w:val="00A50508"/>
    <w:rsid w:val="00A518A4"/>
    <w:rsid w:val="00A520E1"/>
    <w:rsid w:val="00A53FF8"/>
    <w:rsid w:val="00A5740A"/>
    <w:rsid w:val="00A574BC"/>
    <w:rsid w:val="00A662E4"/>
    <w:rsid w:val="00A70ED7"/>
    <w:rsid w:val="00A8054E"/>
    <w:rsid w:val="00A90769"/>
    <w:rsid w:val="00A908B5"/>
    <w:rsid w:val="00A90ACA"/>
    <w:rsid w:val="00A90DE3"/>
    <w:rsid w:val="00A91284"/>
    <w:rsid w:val="00A913BC"/>
    <w:rsid w:val="00A91677"/>
    <w:rsid w:val="00AA0681"/>
    <w:rsid w:val="00AA3542"/>
    <w:rsid w:val="00AB182D"/>
    <w:rsid w:val="00AB3D5A"/>
    <w:rsid w:val="00AB6D63"/>
    <w:rsid w:val="00AC1E6E"/>
    <w:rsid w:val="00AC23F3"/>
    <w:rsid w:val="00AD42FE"/>
    <w:rsid w:val="00AD573E"/>
    <w:rsid w:val="00AD6F73"/>
    <w:rsid w:val="00AE4CDF"/>
    <w:rsid w:val="00AE75C4"/>
    <w:rsid w:val="00AE76D5"/>
    <w:rsid w:val="00AF68EE"/>
    <w:rsid w:val="00B00C68"/>
    <w:rsid w:val="00B0407C"/>
    <w:rsid w:val="00B25360"/>
    <w:rsid w:val="00B313CB"/>
    <w:rsid w:val="00B4483E"/>
    <w:rsid w:val="00B471AD"/>
    <w:rsid w:val="00B5215E"/>
    <w:rsid w:val="00B535CC"/>
    <w:rsid w:val="00B578C2"/>
    <w:rsid w:val="00B62256"/>
    <w:rsid w:val="00B62973"/>
    <w:rsid w:val="00B70D97"/>
    <w:rsid w:val="00B7239A"/>
    <w:rsid w:val="00B74145"/>
    <w:rsid w:val="00B745B7"/>
    <w:rsid w:val="00B82015"/>
    <w:rsid w:val="00B84129"/>
    <w:rsid w:val="00B85ED1"/>
    <w:rsid w:val="00B938FA"/>
    <w:rsid w:val="00BA1662"/>
    <w:rsid w:val="00BA4527"/>
    <w:rsid w:val="00BA5891"/>
    <w:rsid w:val="00BB36ED"/>
    <w:rsid w:val="00BB7128"/>
    <w:rsid w:val="00BC17D5"/>
    <w:rsid w:val="00BC508F"/>
    <w:rsid w:val="00BC5E4C"/>
    <w:rsid w:val="00BD0DEE"/>
    <w:rsid w:val="00BD12D3"/>
    <w:rsid w:val="00BD2051"/>
    <w:rsid w:val="00BE7B5E"/>
    <w:rsid w:val="00BF04E1"/>
    <w:rsid w:val="00BF5D98"/>
    <w:rsid w:val="00BF7CA0"/>
    <w:rsid w:val="00C016B2"/>
    <w:rsid w:val="00C1668F"/>
    <w:rsid w:val="00C23AD6"/>
    <w:rsid w:val="00C24DDB"/>
    <w:rsid w:val="00C31CB6"/>
    <w:rsid w:val="00C37C0C"/>
    <w:rsid w:val="00C37F07"/>
    <w:rsid w:val="00C41B3E"/>
    <w:rsid w:val="00C44536"/>
    <w:rsid w:val="00C47381"/>
    <w:rsid w:val="00C516A7"/>
    <w:rsid w:val="00C5317E"/>
    <w:rsid w:val="00C54C03"/>
    <w:rsid w:val="00C60F39"/>
    <w:rsid w:val="00C62C35"/>
    <w:rsid w:val="00C70E25"/>
    <w:rsid w:val="00C730DD"/>
    <w:rsid w:val="00C8215C"/>
    <w:rsid w:val="00C85917"/>
    <w:rsid w:val="00C873DE"/>
    <w:rsid w:val="00C87749"/>
    <w:rsid w:val="00C91173"/>
    <w:rsid w:val="00CA0655"/>
    <w:rsid w:val="00CB0B68"/>
    <w:rsid w:val="00CC13E0"/>
    <w:rsid w:val="00CC53EC"/>
    <w:rsid w:val="00CD0795"/>
    <w:rsid w:val="00CD115A"/>
    <w:rsid w:val="00CD3039"/>
    <w:rsid w:val="00CD43E1"/>
    <w:rsid w:val="00CE1EB9"/>
    <w:rsid w:val="00CE4099"/>
    <w:rsid w:val="00CE6329"/>
    <w:rsid w:val="00D00423"/>
    <w:rsid w:val="00D066A9"/>
    <w:rsid w:val="00D145FC"/>
    <w:rsid w:val="00D15D8A"/>
    <w:rsid w:val="00D161F4"/>
    <w:rsid w:val="00D21833"/>
    <w:rsid w:val="00D24FCE"/>
    <w:rsid w:val="00D30A97"/>
    <w:rsid w:val="00D36F8B"/>
    <w:rsid w:val="00D413CB"/>
    <w:rsid w:val="00D4384A"/>
    <w:rsid w:val="00D60451"/>
    <w:rsid w:val="00D627AE"/>
    <w:rsid w:val="00D819CA"/>
    <w:rsid w:val="00D82C50"/>
    <w:rsid w:val="00D8750E"/>
    <w:rsid w:val="00D878BA"/>
    <w:rsid w:val="00D909F3"/>
    <w:rsid w:val="00D90F2C"/>
    <w:rsid w:val="00D9620B"/>
    <w:rsid w:val="00DA1326"/>
    <w:rsid w:val="00DA34D3"/>
    <w:rsid w:val="00DA57BF"/>
    <w:rsid w:val="00DA6323"/>
    <w:rsid w:val="00DB1283"/>
    <w:rsid w:val="00DB67AC"/>
    <w:rsid w:val="00DC2B62"/>
    <w:rsid w:val="00DC2D89"/>
    <w:rsid w:val="00DC495D"/>
    <w:rsid w:val="00DD3257"/>
    <w:rsid w:val="00DD6855"/>
    <w:rsid w:val="00DE01FF"/>
    <w:rsid w:val="00DE23E2"/>
    <w:rsid w:val="00DE5484"/>
    <w:rsid w:val="00DE6B6A"/>
    <w:rsid w:val="00DF214A"/>
    <w:rsid w:val="00DF7F45"/>
    <w:rsid w:val="00E15159"/>
    <w:rsid w:val="00E15C16"/>
    <w:rsid w:val="00E21554"/>
    <w:rsid w:val="00E22D8A"/>
    <w:rsid w:val="00E25C2F"/>
    <w:rsid w:val="00E30D5E"/>
    <w:rsid w:val="00E3280E"/>
    <w:rsid w:val="00E354EC"/>
    <w:rsid w:val="00E3770A"/>
    <w:rsid w:val="00E40618"/>
    <w:rsid w:val="00E42DD2"/>
    <w:rsid w:val="00E4301F"/>
    <w:rsid w:val="00E43FEF"/>
    <w:rsid w:val="00E446C7"/>
    <w:rsid w:val="00E47813"/>
    <w:rsid w:val="00E5112B"/>
    <w:rsid w:val="00E56173"/>
    <w:rsid w:val="00E566B2"/>
    <w:rsid w:val="00E60A0F"/>
    <w:rsid w:val="00E63C49"/>
    <w:rsid w:val="00E672CE"/>
    <w:rsid w:val="00E823A3"/>
    <w:rsid w:val="00E823F1"/>
    <w:rsid w:val="00E84767"/>
    <w:rsid w:val="00E87A15"/>
    <w:rsid w:val="00E951E8"/>
    <w:rsid w:val="00EB4BCE"/>
    <w:rsid w:val="00EC286A"/>
    <w:rsid w:val="00EC343B"/>
    <w:rsid w:val="00EC4833"/>
    <w:rsid w:val="00EC57AA"/>
    <w:rsid w:val="00ED33AF"/>
    <w:rsid w:val="00ED7AA8"/>
    <w:rsid w:val="00EE2D90"/>
    <w:rsid w:val="00EE762E"/>
    <w:rsid w:val="00EF0D14"/>
    <w:rsid w:val="00EF5812"/>
    <w:rsid w:val="00F026D1"/>
    <w:rsid w:val="00F026FE"/>
    <w:rsid w:val="00F05E4C"/>
    <w:rsid w:val="00F06745"/>
    <w:rsid w:val="00F068F4"/>
    <w:rsid w:val="00F15575"/>
    <w:rsid w:val="00F30809"/>
    <w:rsid w:val="00F311F1"/>
    <w:rsid w:val="00F3127F"/>
    <w:rsid w:val="00F3209E"/>
    <w:rsid w:val="00F34CF2"/>
    <w:rsid w:val="00F55799"/>
    <w:rsid w:val="00F609CD"/>
    <w:rsid w:val="00F667DD"/>
    <w:rsid w:val="00F66A70"/>
    <w:rsid w:val="00F67105"/>
    <w:rsid w:val="00F67B3A"/>
    <w:rsid w:val="00F70FA6"/>
    <w:rsid w:val="00F754E4"/>
    <w:rsid w:val="00F7779B"/>
    <w:rsid w:val="00F90447"/>
    <w:rsid w:val="00F939EA"/>
    <w:rsid w:val="00FA1130"/>
    <w:rsid w:val="00FA2CB7"/>
    <w:rsid w:val="00FA7A2C"/>
    <w:rsid w:val="00FA7DE8"/>
    <w:rsid w:val="00FB1FAB"/>
    <w:rsid w:val="00FB5D32"/>
    <w:rsid w:val="00FB675A"/>
    <w:rsid w:val="00FC0C33"/>
    <w:rsid w:val="00FC5337"/>
    <w:rsid w:val="00FC5A4C"/>
    <w:rsid w:val="00FD2AFE"/>
    <w:rsid w:val="00FD6CB9"/>
    <w:rsid w:val="00FE3080"/>
    <w:rsid w:val="00FE3620"/>
    <w:rsid w:val="00FE496F"/>
    <w:rsid w:val="00FE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28C57C3"/>
  <w15:chartTrackingRefBased/>
  <w15:docId w15:val="{4F67DC89-C8B5-483D-8F72-40242706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B1B"/>
    <w:pPr>
      <w:widowControl w:val="0"/>
      <w:tabs>
        <w:tab w:val="left" w:pos="0"/>
      </w:tabs>
      <w:autoSpaceDE w:val="0"/>
      <w:autoSpaceDN w:val="0"/>
      <w:adjustRightInd w:val="0"/>
      <w:spacing w:after="240"/>
    </w:pPr>
    <w:rPr>
      <w:rFonts w:ascii="Calibri" w:hAnsi="Calibri"/>
      <w:sz w:val="22"/>
      <w:szCs w:val="22"/>
    </w:rPr>
  </w:style>
  <w:style w:type="paragraph" w:styleId="Heading1">
    <w:name w:val="heading 1"/>
    <w:basedOn w:val="Normal"/>
    <w:next w:val="Normal"/>
    <w:link w:val="Heading1Char"/>
    <w:qFormat/>
    <w:rsid w:val="001B1B1B"/>
    <w:pPr>
      <w:tabs>
        <w:tab w:val="left" w:pos="5040"/>
      </w:tabs>
      <w:jc w:val="center"/>
      <w:outlineLvl w:val="0"/>
    </w:pPr>
    <w:rPr>
      <w:rFonts w:cs="Calibri"/>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1F35ED"/>
    <w:rPr>
      <w:color w:val="0000FF"/>
      <w:u w:val="single"/>
    </w:rPr>
  </w:style>
  <w:style w:type="paragraph" w:styleId="NormalWeb">
    <w:name w:val="Normal (Web)"/>
    <w:basedOn w:val="Normal"/>
    <w:rsid w:val="0084347C"/>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8852DC"/>
    <w:rPr>
      <w:rFonts w:ascii="Tahoma" w:hAnsi="Tahoma" w:cs="Tahoma"/>
      <w:sz w:val="16"/>
      <w:szCs w:val="16"/>
    </w:rPr>
  </w:style>
  <w:style w:type="paragraph" w:styleId="Footer">
    <w:name w:val="footer"/>
    <w:basedOn w:val="Normal"/>
    <w:link w:val="FooterChar"/>
    <w:uiPriority w:val="99"/>
    <w:rsid w:val="00534B52"/>
    <w:pPr>
      <w:tabs>
        <w:tab w:val="center" w:pos="4320"/>
        <w:tab w:val="right" w:pos="8640"/>
      </w:tabs>
    </w:pPr>
  </w:style>
  <w:style w:type="character" w:styleId="PageNumber">
    <w:name w:val="page number"/>
    <w:basedOn w:val="DefaultParagraphFont"/>
    <w:rsid w:val="00534B52"/>
  </w:style>
  <w:style w:type="character" w:styleId="FollowedHyperlink">
    <w:name w:val="FollowedHyperlink"/>
    <w:rsid w:val="00DA34D3"/>
    <w:rPr>
      <w:color w:val="800080"/>
      <w:u w:val="single"/>
    </w:rPr>
  </w:style>
  <w:style w:type="paragraph" w:styleId="Header">
    <w:name w:val="header"/>
    <w:basedOn w:val="Normal"/>
    <w:link w:val="HeaderChar"/>
    <w:uiPriority w:val="99"/>
    <w:rsid w:val="008540F8"/>
    <w:pPr>
      <w:tabs>
        <w:tab w:val="center" w:pos="4320"/>
        <w:tab w:val="right" w:pos="8640"/>
      </w:tabs>
    </w:pPr>
  </w:style>
  <w:style w:type="character" w:customStyle="1" w:styleId="HeaderChar">
    <w:name w:val="Header Char"/>
    <w:link w:val="Header"/>
    <w:uiPriority w:val="99"/>
    <w:rsid w:val="00563DAE"/>
    <w:rPr>
      <w:rFonts w:ascii="CG Times" w:hAnsi="CG Times"/>
      <w:sz w:val="24"/>
      <w:szCs w:val="24"/>
    </w:rPr>
  </w:style>
  <w:style w:type="character" w:customStyle="1" w:styleId="FooterChar">
    <w:name w:val="Footer Char"/>
    <w:link w:val="Footer"/>
    <w:uiPriority w:val="99"/>
    <w:rsid w:val="002B44BF"/>
    <w:rPr>
      <w:rFonts w:ascii="CG Times" w:hAnsi="CG Times"/>
      <w:sz w:val="24"/>
      <w:szCs w:val="24"/>
    </w:rPr>
  </w:style>
  <w:style w:type="character" w:styleId="CommentReference">
    <w:name w:val="annotation reference"/>
    <w:rsid w:val="00496B8F"/>
    <w:rPr>
      <w:sz w:val="16"/>
      <w:szCs w:val="16"/>
    </w:rPr>
  </w:style>
  <w:style w:type="paragraph" w:styleId="CommentText">
    <w:name w:val="annotation text"/>
    <w:basedOn w:val="Normal"/>
    <w:link w:val="CommentTextChar"/>
    <w:rsid w:val="00496B8F"/>
    <w:rPr>
      <w:sz w:val="20"/>
      <w:szCs w:val="20"/>
    </w:rPr>
  </w:style>
  <w:style w:type="character" w:customStyle="1" w:styleId="CommentTextChar">
    <w:name w:val="Comment Text Char"/>
    <w:link w:val="CommentText"/>
    <w:rsid w:val="00496B8F"/>
    <w:rPr>
      <w:rFonts w:ascii="CG Times" w:hAnsi="CG Times"/>
    </w:rPr>
  </w:style>
  <w:style w:type="paragraph" w:styleId="CommentSubject">
    <w:name w:val="annotation subject"/>
    <w:basedOn w:val="CommentText"/>
    <w:next w:val="CommentText"/>
    <w:link w:val="CommentSubjectChar"/>
    <w:rsid w:val="00496B8F"/>
    <w:rPr>
      <w:b/>
      <w:bCs/>
    </w:rPr>
  </w:style>
  <w:style w:type="character" w:customStyle="1" w:styleId="CommentSubjectChar">
    <w:name w:val="Comment Subject Char"/>
    <w:link w:val="CommentSubject"/>
    <w:rsid w:val="00496B8F"/>
    <w:rPr>
      <w:rFonts w:ascii="CG Times" w:hAnsi="CG Times"/>
      <w:b/>
      <w:bCs/>
    </w:rPr>
  </w:style>
  <w:style w:type="character" w:customStyle="1" w:styleId="Heading1Char">
    <w:name w:val="Heading 1 Char"/>
    <w:basedOn w:val="DefaultParagraphFont"/>
    <w:link w:val="Heading1"/>
    <w:rsid w:val="001B1B1B"/>
    <w:rPr>
      <w:rFonts w:ascii="Calibri" w:hAnsi="Calibri" w:cs="Calibri"/>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886">
      <w:bodyDiv w:val="1"/>
      <w:marLeft w:val="0"/>
      <w:marRight w:val="0"/>
      <w:marTop w:val="30"/>
      <w:marBottom w:val="750"/>
      <w:divBdr>
        <w:top w:val="none" w:sz="0" w:space="0" w:color="auto"/>
        <w:left w:val="none" w:sz="0" w:space="0" w:color="auto"/>
        <w:bottom w:val="none" w:sz="0" w:space="0" w:color="auto"/>
        <w:right w:val="none" w:sz="0" w:space="0" w:color="auto"/>
      </w:divBdr>
      <w:divsChild>
        <w:div w:id="1688486222">
          <w:marLeft w:val="0"/>
          <w:marRight w:val="0"/>
          <w:marTop w:val="0"/>
          <w:marBottom w:val="0"/>
          <w:divBdr>
            <w:top w:val="none" w:sz="0" w:space="0" w:color="auto"/>
            <w:left w:val="none" w:sz="0" w:space="0" w:color="auto"/>
            <w:bottom w:val="none" w:sz="0" w:space="0" w:color="auto"/>
            <w:right w:val="none" w:sz="0" w:space="0" w:color="auto"/>
          </w:divBdr>
        </w:div>
      </w:divsChild>
    </w:div>
    <w:div w:id="95906105">
      <w:bodyDiv w:val="1"/>
      <w:marLeft w:val="0"/>
      <w:marRight w:val="0"/>
      <w:marTop w:val="30"/>
      <w:marBottom w:val="750"/>
      <w:divBdr>
        <w:top w:val="none" w:sz="0" w:space="0" w:color="auto"/>
        <w:left w:val="none" w:sz="0" w:space="0" w:color="auto"/>
        <w:bottom w:val="none" w:sz="0" w:space="0" w:color="auto"/>
        <w:right w:val="none" w:sz="0" w:space="0" w:color="auto"/>
      </w:divBdr>
      <w:divsChild>
        <w:div w:id="335882041">
          <w:marLeft w:val="0"/>
          <w:marRight w:val="0"/>
          <w:marTop w:val="0"/>
          <w:marBottom w:val="0"/>
          <w:divBdr>
            <w:top w:val="none" w:sz="0" w:space="0" w:color="auto"/>
            <w:left w:val="none" w:sz="0" w:space="0" w:color="auto"/>
            <w:bottom w:val="none" w:sz="0" w:space="0" w:color="auto"/>
            <w:right w:val="none" w:sz="0" w:space="0" w:color="auto"/>
          </w:divBdr>
        </w:div>
      </w:divsChild>
    </w:div>
    <w:div w:id="437717134">
      <w:bodyDiv w:val="1"/>
      <w:marLeft w:val="0"/>
      <w:marRight w:val="0"/>
      <w:marTop w:val="30"/>
      <w:marBottom w:val="750"/>
      <w:divBdr>
        <w:top w:val="none" w:sz="0" w:space="0" w:color="auto"/>
        <w:left w:val="none" w:sz="0" w:space="0" w:color="auto"/>
        <w:bottom w:val="none" w:sz="0" w:space="0" w:color="auto"/>
        <w:right w:val="none" w:sz="0" w:space="0" w:color="auto"/>
      </w:divBdr>
      <w:divsChild>
        <w:div w:id="750078878">
          <w:marLeft w:val="0"/>
          <w:marRight w:val="0"/>
          <w:marTop w:val="0"/>
          <w:marBottom w:val="0"/>
          <w:divBdr>
            <w:top w:val="none" w:sz="0" w:space="0" w:color="auto"/>
            <w:left w:val="none" w:sz="0" w:space="0" w:color="auto"/>
            <w:bottom w:val="none" w:sz="0" w:space="0" w:color="auto"/>
            <w:right w:val="none" w:sz="0" w:space="0" w:color="auto"/>
          </w:divBdr>
        </w:div>
      </w:divsChild>
    </w:div>
    <w:div w:id="579995079">
      <w:bodyDiv w:val="1"/>
      <w:marLeft w:val="0"/>
      <w:marRight w:val="0"/>
      <w:marTop w:val="30"/>
      <w:marBottom w:val="750"/>
      <w:divBdr>
        <w:top w:val="none" w:sz="0" w:space="0" w:color="auto"/>
        <w:left w:val="none" w:sz="0" w:space="0" w:color="auto"/>
        <w:bottom w:val="none" w:sz="0" w:space="0" w:color="auto"/>
        <w:right w:val="none" w:sz="0" w:space="0" w:color="auto"/>
      </w:divBdr>
      <w:divsChild>
        <w:div w:id="1892570580">
          <w:marLeft w:val="0"/>
          <w:marRight w:val="0"/>
          <w:marTop w:val="0"/>
          <w:marBottom w:val="0"/>
          <w:divBdr>
            <w:top w:val="none" w:sz="0" w:space="0" w:color="auto"/>
            <w:left w:val="none" w:sz="0" w:space="0" w:color="auto"/>
            <w:bottom w:val="none" w:sz="0" w:space="0" w:color="auto"/>
            <w:right w:val="none" w:sz="0" w:space="0" w:color="auto"/>
          </w:divBdr>
        </w:div>
      </w:divsChild>
    </w:div>
    <w:div w:id="717824083">
      <w:bodyDiv w:val="1"/>
      <w:marLeft w:val="0"/>
      <w:marRight w:val="0"/>
      <w:marTop w:val="0"/>
      <w:marBottom w:val="0"/>
      <w:divBdr>
        <w:top w:val="none" w:sz="0" w:space="0" w:color="auto"/>
        <w:left w:val="none" w:sz="0" w:space="0" w:color="auto"/>
        <w:bottom w:val="none" w:sz="0" w:space="0" w:color="auto"/>
        <w:right w:val="none" w:sz="0" w:space="0" w:color="auto"/>
      </w:divBdr>
      <w:divsChild>
        <w:div w:id="727462927">
          <w:marLeft w:val="0"/>
          <w:marRight w:val="0"/>
          <w:marTop w:val="0"/>
          <w:marBottom w:val="0"/>
          <w:divBdr>
            <w:top w:val="none" w:sz="0" w:space="0" w:color="auto"/>
            <w:left w:val="none" w:sz="0" w:space="0" w:color="auto"/>
            <w:bottom w:val="none" w:sz="0" w:space="0" w:color="auto"/>
            <w:right w:val="none" w:sz="0" w:space="0" w:color="auto"/>
          </w:divBdr>
          <w:divsChild>
            <w:div w:id="384641415">
              <w:marLeft w:val="0"/>
              <w:marRight w:val="0"/>
              <w:marTop w:val="0"/>
              <w:marBottom w:val="0"/>
              <w:divBdr>
                <w:top w:val="none" w:sz="0" w:space="0" w:color="auto"/>
                <w:left w:val="none" w:sz="0" w:space="0" w:color="auto"/>
                <w:bottom w:val="none" w:sz="0" w:space="0" w:color="auto"/>
                <w:right w:val="none" w:sz="0" w:space="0" w:color="auto"/>
              </w:divBdr>
              <w:divsChild>
                <w:div w:id="17483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3154">
      <w:bodyDiv w:val="1"/>
      <w:marLeft w:val="0"/>
      <w:marRight w:val="0"/>
      <w:marTop w:val="30"/>
      <w:marBottom w:val="750"/>
      <w:divBdr>
        <w:top w:val="none" w:sz="0" w:space="0" w:color="auto"/>
        <w:left w:val="none" w:sz="0" w:space="0" w:color="auto"/>
        <w:bottom w:val="none" w:sz="0" w:space="0" w:color="auto"/>
        <w:right w:val="none" w:sz="0" w:space="0" w:color="auto"/>
      </w:divBdr>
      <w:divsChild>
        <w:div w:id="1534729244">
          <w:marLeft w:val="0"/>
          <w:marRight w:val="0"/>
          <w:marTop w:val="0"/>
          <w:marBottom w:val="0"/>
          <w:divBdr>
            <w:top w:val="none" w:sz="0" w:space="0" w:color="auto"/>
            <w:left w:val="none" w:sz="0" w:space="0" w:color="auto"/>
            <w:bottom w:val="none" w:sz="0" w:space="0" w:color="auto"/>
            <w:right w:val="none" w:sz="0" w:space="0" w:color="auto"/>
          </w:divBdr>
        </w:div>
      </w:divsChild>
    </w:div>
    <w:div w:id="931669996">
      <w:bodyDiv w:val="1"/>
      <w:marLeft w:val="0"/>
      <w:marRight w:val="0"/>
      <w:marTop w:val="0"/>
      <w:marBottom w:val="0"/>
      <w:divBdr>
        <w:top w:val="none" w:sz="0" w:space="0" w:color="auto"/>
        <w:left w:val="none" w:sz="0" w:space="0" w:color="auto"/>
        <w:bottom w:val="none" w:sz="0" w:space="0" w:color="auto"/>
        <w:right w:val="none" w:sz="0" w:space="0" w:color="auto"/>
      </w:divBdr>
      <w:divsChild>
        <w:div w:id="381440614">
          <w:marLeft w:val="0"/>
          <w:marRight w:val="0"/>
          <w:marTop w:val="0"/>
          <w:marBottom w:val="0"/>
          <w:divBdr>
            <w:top w:val="none" w:sz="0" w:space="0" w:color="auto"/>
            <w:left w:val="none" w:sz="0" w:space="0" w:color="auto"/>
            <w:bottom w:val="none" w:sz="0" w:space="0" w:color="auto"/>
            <w:right w:val="none" w:sz="0" w:space="0" w:color="auto"/>
          </w:divBdr>
          <w:divsChild>
            <w:div w:id="2050295048">
              <w:marLeft w:val="0"/>
              <w:marRight w:val="0"/>
              <w:marTop w:val="0"/>
              <w:marBottom w:val="0"/>
              <w:divBdr>
                <w:top w:val="none" w:sz="0" w:space="0" w:color="auto"/>
                <w:left w:val="none" w:sz="0" w:space="0" w:color="auto"/>
                <w:bottom w:val="none" w:sz="0" w:space="0" w:color="auto"/>
                <w:right w:val="none" w:sz="0" w:space="0" w:color="auto"/>
              </w:divBdr>
              <w:divsChild>
                <w:div w:id="1248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56504">
      <w:bodyDiv w:val="1"/>
      <w:marLeft w:val="0"/>
      <w:marRight w:val="0"/>
      <w:marTop w:val="30"/>
      <w:marBottom w:val="750"/>
      <w:divBdr>
        <w:top w:val="none" w:sz="0" w:space="0" w:color="auto"/>
        <w:left w:val="none" w:sz="0" w:space="0" w:color="auto"/>
        <w:bottom w:val="none" w:sz="0" w:space="0" w:color="auto"/>
        <w:right w:val="none" w:sz="0" w:space="0" w:color="auto"/>
      </w:divBdr>
      <w:divsChild>
        <w:div w:id="690688837">
          <w:marLeft w:val="0"/>
          <w:marRight w:val="0"/>
          <w:marTop w:val="0"/>
          <w:marBottom w:val="0"/>
          <w:divBdr>
            <w:top w:val="none" w:sz="0" w:space="0" w:color="auto"/>
            <w:left w:val="none" w:sz="0" w:space="0" w:color="auto"/>
            <w:bottom w:val="none" w:sz="0" w:space="0" w:color="auto"/>
            <w:right w:val="none" w:sz="0" w:space="0" w:color="auto"/>
          </w:divBdr>
        </w:div>
      </w:divsChild>
    </w:div>
    <w:div w:id="1154295390">
      <w:bodyDiv w:val="1"/>
      <w:marLeft w:val="0"/>
      <w:marRight w:val="0"/>
      <w:marTop w:val="30"/>
      <w:marBottom w:val="750"/>
      <w:divBdr>
        <w:top w:val="none" w:sz="0" w:space="0" w:color="auto"/>
        <w:left w:val="none" w:sz="0" w:space="0" w:color="auto"/>
        <w:bottom w:val="none" w:sz="0" w:space="0" w:color="auto"/>
        <w:right w:val="none" w:sz="0" w:space="0" w:color="auto"/>
      </w:divBdr>
      <w:divsChild>
        <w:div w:id="890925208">
          <w:marLeft w:val="0"/>
          <w:marRight w:val="0"/>
          <w:marTop w:val="0"/>
          <w:marBottom w:val="0"/>
          <w:divBdr>
            <w:top w:val="none" w:sz="0" w:space="0" w:color="auto"/>
            <w:left w:val="none" w:sz="0" w:space="0" w:color="auto"/>
            <w:bottom w:val="none" w:sz="0" w:space="0" w:color="auto"/>
            <w:right w:val="none" w:sz="0" w:space="0" w:color="auto"/>
          </w:divBdr>
        </w:div>
      </w:divsChild>
    </w:div>
    <w:div w:id="1237936090">
      <w:bodyDiv w:val="1"/>
      <w:marLeft w:val="0"/>
      <w:marRight w:val="0"/>
      <w:marTop w:val="30"/>
      <w:marBottom w:val="750"/>
      <w:divBdr>
        <w:top w:val="none" w:sz="0" w:space="0" w:color="auto"/>
        <w:left w:val="none" w:sz="0" w:space="0" w:color="auto"/>
        <w:bottom w:val="none" w:sz="0" w:space="0" w:color="auto"/>
        <w:right w:val="none" w:sz="0" w:space="0" w:color="auto"/>
      </w:divBdr>
      <w:divsChild>
        <w:div w:id="2088182840">
          <w:marLeft w:val="0"/>
          <w:marRight w:val="0"/>
          <w:marTop w:val="0"/>
          <w:marBottom w:val="0"/>
          <w:divBdr>
            <w:top w:val="none" w:sz="0" w:space="0" w:color="auto"/>
            <w:left w:val="none" w:sz="0" w:space="0" w:color="auto"/>
            <w:bottom w:val="none" w:sz="0" w:space="0" w:color="auto"/>
            <w:right w:val="none" w:sz="0" w:space="0" w:color="auto"/>
          </w:divBdr>
        </w:div>
      </w:divsChild>
    </w:div>
    <w:div w:id="1306423492">
      <w:bodyDiv w:val="1"/>
      <w:marLeft w:val="0"/>
      <w:marRight w:val="0"/>
      <w:marTop w:val="30"/>
      <w:marBottom w:val="750"/>
      <w:divBdr>
        <w:top w:val="none" w:sz="0" w:space="0" w:color="auto"/>
        <w:left w:val="none" w:sz="0" w:space="0" w:color="auto"/>
        <w:bottom w:val="none" w:sz="0" w:space="0" w:color="auto"/>
        <w:right w:val="none" w:sz="0" w:space="0" w:color="auto"/>
      </w:divBdr>
      <w:divsChild>
        <w:div w:id="875583566">
          <w:marLeft w:val="0"/>
          <w:marRight w:val="0"/>
          <w:marTop w:val="0"/>
          <w:marBottom w:val="0"/>
          <w:divBdr>
            <w:top w:val="none" w:sz="0" w:space="0" w:color="auto"/>
            <w:left w:val="none" w:sz="0" w:space="0" w:color="auto"/>
            <w:bottom w:val="none" w:sz="0" w:space="0" w:color="auto"/>
            <w:right w:val="none" w:sz="0" w:space="0" w:color="auto"/>
          </w:divBdr>
        </w:div>
      </w:divsChild>
    </w:div>
    <w:div w:id="1620187516">
      <w:bodyDiv w:val="1"/>
      <w:marLeft w:val="0"/>
      <w:marRight w:val="0"/>
      <w:marTop w:val="30"/>
      <w:marBottom w:val="750"/>
      <w:divBdr>
        <w:top w:val="none" w:sz="0" w:space="0" w:color="auto"/>
        <w:left w:val="none" w:sz="0" w:space="0" w:color="auto"/>
        <w:bottom w:val="none" w:sz="0" w:space="0" w:color="auto"/>
        <w:right w:val="none" w:sz="0" w:space="0" w:color="auto"/>
      </w:divBdr>
      <w:divsChild>
        <w:div w:id="591822090">
          <w:marLeft w:val="0"/>
          <w:marRight w:val="0"/>
          <w:marTop w:val="0"/>
          <w:marBottom w:val="0"/>
          <w:divBdr>
            <w:top w:val="none" w:sz="0" w:space="0" w:color="auto"/>
            <w:left w:val="none" w:sz="0" w:space="0" w:color="auto"/>
            <w:bottom w:val="none" w:sz="0" w:space="0" w:color="auto"/>
            <w:right w:val="none" w:sz="0" w:space="0" w:color="auto"/>
          </w:divBdr>
        </w:div>
      </w:divsChild>
    </w:div>
    <w:div w:id="1656841455">
      <w:bodyDiv w:val="1"/>
      <w:marLeft w:val="0"/>
      <w:marRight w:val="0"/>
      <w:marTop w:val="30"/>
      <w:marBottom w:val="750"/>
      <w:divBdr>
        <w:top w:val="none" w:sz="0" w:space="0" w:color="auto"/>
        <w:left w:val="none" w:sz="0" w:space="0" w:color="auto"/>
        <w:bottom w:val="none" w:sz="0" w:space="0" w:color="auto"/>
        <w:right w:val="none" w:sz="0" w:space="0" w:color="auto"/>
      </w:divBdr>
      <w:divsChild>
        <w:div w:id="1568494401">
          <w:marLeft w:val="0"/>
          <w:marRight w:val="0"/>
          <w:marTop w:val="0"/>
          <w:marBottom w:val="0"/>
          <w:divBdr>
            <w:top w:val="none" w:sz="0" w:space="0" w:color="auto"/>
            <w:left w:val="none" w:sz="0" w:space="0" w:color="auto"/>
            <w:bottom w:val="none" w:sz="0" w:space="0" w:color="auto"/>
            <w:right w:val="none" w:sz="0" w:space="0" w:color="auto"/>
          </w:divBdr>
        </w:div>
      </w:divsChild>
    </w:div>
    <w:div w:id="1702785163">
      <w:bodyDiv w:val="1"/>
      <w:marLeft w:val="0"/>
      <w:marRight w:val="0"/>
      <w:marTop w:val="30"/>
      <w:marBottom w:val="750"/>
      <w:divBdr>
        <w:top w:val="none" w:sz="0" w:space="0" w:color="auto"/>
        <w:left w:val="none" w:sz="0" w:space="0" w:color="auto"/>
        <w:bottom w:val="none" w:sz="0" w:space="0" w:color="auto"/>
        <w:right w:val="none" w:sz="0" w:space="0" w:color="auto"/>
      </w:divBdr>
      <w:divsChild>
        <w:div w:id="1751464193">
          <w:marLeft w:val="0"/>
          <w:marRight w:val="0"/>
          <w:marTop w:val="0"/>
          <w:marBottom w:val="0"/>
          <w:divBdr>
            <w:top w:val="none" w:sz="0" w:space="0" w:color="auto"/>
            <w:left w:val="none" w:sz="0" w:space="0" w:color="auto"/>
            <w:bottom w:val="none" w:sz="0" w:space="0" w:color="auto"/>
            <w:right w:val="none" w:sz="0" w:space="0" w:color="auto"/>
          </w:divBdr>
        </w:div>
      </w:divsChild>
    </w:div>
    <w:div w:id="19854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eta.gov/neg/admin_req.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deed.state.mn.us/ddp/PolicyDetail.aspx?pol=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92CA-E028-45D1-B959-91C9C359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4364</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30640</CharactersWithSpaces>
  <SharedDoc>false</SharedDoc>
  <HLinks>
    <vt:vector size="12" baseType="variant">
      <vt:variant>
        <vt:i4>3604519</vt:i4>
      </vt:variant>
      <vt:variant>
        <vt:i4>3</vt:i4>
      </vt:variant>
      <vt:variant>
        <vt:i4>0</vt:i4>
      </vt:variant>
      <vt:variant>
        <vt:i4>5</vt:i4>
      </vt:variant>
      <vt:variant>
        <vt:lpwstr>https://apps.deed.state.mn.us/ddp/PolicyDetail.aspx?pol=509</vt:lpwstr>
      </vt:variant>
      <vt:variant>
        <vt:lpwstr/>
      </vt:variant>
      <vt:variant>
        <vt:i4>786465</vt:i4>
      </vt:variant>
      <vt:variant>
        <vt:i4>0</vt:i4>
      </vt:variant>
      <vt:variant>
        <vt:i4>0</vt:i4>
      </vt:variant>
      <vt:variant>
        <vt:i4>5</vt:i4>
      </vt:variant>
      <vt:variant>
        <vt:lpwstr>http://www.doleta.gov/neg/admin_req.cfm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dc:creator>
  <cp:keywords/>
  <cp:lastModifiedBy>Fischer, Samantha (DEED)</cp:lastModifiedBy>
  <cp:revision>3</cp:revision>
  <cp:lastPrinted>2019-10-17T20:41:00Z</cp:lastPrinted>
  <dcterms:created xsi:type="dcterms:W3CDTF">2019-10-30T19:42:00Z</dcterms:created>
  <dcterms:modified xsi:type="dcterms:W3CDTF">2019-10-30T21:02:00Z</dcterms:modified>
</cp:coreProperties>
</file>